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Pr="00EA4295" w:rsidRDefault="00E82A53" w:rsidP="00E82A53">
      <w:pPr>
        <w:jc w:val="center"/>
        <w:rPr>
          <w:rFonts w:ascii="Arial" w:hAnsi="Arial" w:cs="Arial"/>
          <w:sz w:val="24"/>
          <w:szCs w:val="24"/>
        </w:rPr>
      </w:pPr>
      <w:r w:rsidRPr="00EA4295">
        <w:rPr>
          <w:rFonts w:ascii="Arial" w:hAnsi="Arial" w:cs="Arial"/>
          <w:noProof/>
          <w:sz w:val="24"/>
          <w:szCs w:val="24"/>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EA4295" w:rsidRDefault="00E82A53" w:rsidP="00E82A53">
      <w:pPr>
        <w:spacing w:after="0" w:line="240" w:lineRule="auto"/>
        <w:jc w:val="center"/>
        <w:rPr>
          <w:rFonts w:ascii="Arial" w:hAnsi="Arial" w:cs="Arial"/>
          <w:b/>
          <w:sz w:val="24"/>
          <w:szCs w:val="24"/>
        </w:rPr>
      </w:pPr>
      <w:r w:rsidRPr="00EA4295">
        <w:rPr>
          <w:rFonts w:ascii="Arial" w:hAnsi="Arial" w:cs="Arial"/>
          <w:b/>
          <w:sz w:val="24"/>
          <w:szCs w:val="24"/>
        </w:rPr>
        <w:t>MINISTRY:  JUSTICE AND CORRECTIONAL SERVICES</w:t>
      </w:r>
    </w:p>
    <w:p w:rsidR="00E82A53" w:rsidRPr="00EA4295" w:rsidRDefault="00E82A53" w:rsidP="00E82A53">
      <w:pPr>
        <w:spacing w:after="0" w:line="240" w:lineRule="auto"/>
        <w:jc w:val="center"/>
        <w:outlineLvl w:val="0"/>
        <w:rPr>
          <w:rFonts w:ascii="Arial" w:eastAsia="Arial Unicode MS" w:hAnsi="Arial" w:cs="Arial"/>
          <w:b/>
          <w:color w:val="000000"/>
          <w:sz w:val="24"/>
          <w:szCs w:val="24"/>
          <w:lang w:eastAsia="en-ZA"/>
        </w:rPr>
      </w:pPr>
      <w:r w:rsidRPr="00EA4295">
        <w:rPr>
          <w:rFonts w:ascii="Arial" w:eastAsia="Arial Unicode MS" w:hAnsi="Arial" w:cs="Arial"/>
          <w:b/>
          <w:color w:val="000000"/>
          <w:sz w:val="24"/>
          <w:szCs w:val="24"/>
          <w:lang w:eastAsia="en-ZA"/>
        </w:rPr>
        <w:t>REPUBLIC OF SOUTH AFRICA</w:t>
      </w:r>
    </w:p>
    <w:p w:rsidR="00E82A53" w:rsidRPr="00EA4295" w:rsidRDefault="00E82A53" w:rsidP="00E82A53">
      <w:pPr>
        <w:spacing w:after="0" w:line="240" w:lineRule="auto"/>
        <w:rPr>
          <w:rFonts w:ascii="Arial" w:hAnsi="Arial" w:cs="Arial"/>
          <w:sz w:val="24"/>
          <w:szCs w:val="24"/>
        </w:rPr>
      </w:pPr>
    </w:p>
    <w:p w:rsidR="00F7668B" w:rsidRPr="00EA4295" w:rsidRDefault="00F7668B" w:rsidP="00F7668B">
      <w:pPr>
        <w:pBdr>
          <w:bottom w:val="single" w:sz="4" w:space="1" w:color="auto"/>
        </w:pBdr>
        <w:jc w:val="center"/>
        <w:rPr>
          <w:rFonts w:ascii="Arial" w:hAnsi="Arial" w:cs="Arial"/>
          <w:sz w:val="24"/>
          <w:szCs w:val="24"/>
        </w:rPr>
      </w:pPr>
    </w:p>
    <w:p w:rsidR="00F7668B" w:rsidRPr="00EA4295" w:rsidRDefault="00F7668B" w:rsidP="00F7668B">
      <w:pPr>
        <w:rPr>
          <w:rFonts w:ascii="Arial" w:hAnsi="Arial" w:cs="Arial"/>
          <w:b/>
          <w:sz w:val="24"/>
          <w:szCs w:val="24"/>
        </w:rPr>
      </w:pPr>
      <w:proofErr w:type="gramStart"/>
      <w:r w:rsidRPr="00EA4295">
        <w:rPr>
          <w:rFonts w:ascii="Arial" w:hAnsi="Arial" w:cs="Arial"/>
          <w:b/>
          <w:sz w:val="24"/>
          <w:szCs w:val="24"/>
        </w:rPr>
        <w:t>NATIONAL  ASSEMBLY</w:t>
      </w:r>
      <w:proofErr w:type="gramEnd"/>
      <w:r w:rsidRPr="00EA4295">
        <w:rPr>
          <w:rFonts w:ascii="Arial" w:hAnsi="Arial" w:cs="Arial"/>
          <w:b/>
          <w:sz w:val="24"/>
          <w:szCs w:val="24"/>
        </w:rPr>
        <w:t xml:space="preserve"> </w:t>
      </w:r>
    </w:p>
    <w:p w:rsidR="00F7668B" w:rsidRPr="00EA4295" w:rsidRDefault="00F7668B" w:rsidP="00F7668B">
      <w:pPr>
        <w:rPr>
          <w:rFonts w:ascii="Arial" w:hAnsi="Arial" w:cs="Arial"/>
          <w:b/>
          <w:sz w:val="24"/>
          <w:szCs w:val="24"/>
        </w:rPr>
      </w:pPr>
      <w:r w:rsidRPr="00EA4295">
        <w:rPr>
          <w:rFonts w:ascii="Arial" w:hAnsi="Arial" w:cs="Arial"/>
          <w:b/>
          <w:sz w:val="24"/>
          <w:szCs w:val="24"/>
        </w:rPr>
        <w:t xml:space="preserve">QUESTION FOR WRITTEN REPLY </w:t>
      </w:r>
    </w:p>
    <w:p w:rsidR="00F7668B" w:rsidRPr="00EA4295" w:rsidRDefault="00F7668B" w:rsidP="00F7668B">
      <w:pPr>
        <w:rPr>
          <w:rFonts w:ascii="Arial" w:hAnsi="Arial" w:cs="Arial"/>
          <w:b/>
          <w:sz w:val="24"/>
          <w:szCs w:val="24"/>
        </w:rPr>
      </w:pPr>
      <w:r w:rsidRPr="00EA4295">
        <w:rPr>
          <w:rFonts w:ascii="Arial" w:hAnsi="Arial" w:cs="Arial"/>
          <w:b/>
          <w:sz w:val="24"/>
          <w:szCs w:val="24"/>
        </w:rPr>
        <w:t>PARLIMENATARY QUESTION NO: 3976</w:t>
      </w:r>
    </w:p>
    <w:p w:rsidR="00F7668B" w:rsidRPr="00EA4295" w:rsidRDefault="00F7668B" w:rsidP="00F7668B">
      <w:pPr>
        <w:rPr>
          <w:rFonts w:ascii="Arial" w:hAnsi="Arial" w:cs="Arial"/>
          <w:b/>
          <w:sz w:val="24"/>
          <w:szCs w:val="24"/>
        </w:rPr>
      </w:pPr>
      <w:r w:rsidRPr="00EA4295">
        <w:rPr>
          <w:rFonts w:ascii="Arial" w:hAnsi="Arial" w:cs="Arial"/>
          <w:b/>
          <w:sz w:val="24"/>
          <w:szCs w:val="24"/>
        </w:rPr>
        <w:t>DATE OF QUESTION: 28 OCTOBER 2022</w:t>
      </w:r>
    </w:p>
    <w:p w:rsidR="00F7668B" w:rsidRPr="00EA4295" w:rsidRDefault="00F7668B" w:rsidP="00F7668B">
      <w:pPr>
        <w:rPr>
          <w:rFonts w:ascii="Arial" w:hAnsi="Arial" w:cs="Arial"/>
          <w:b/>
          <w:sz w:val="24"/>
          <w:szCs w:val="24"/>
        </w:rPr>
      </w:pPr>
      <w:r w:rsidRPr="00EA4295">
        <w:rPr>
          <w:rFonts w:ascii="Arial" w:hAnsi="Arial" w:cs="Arial"/>
          <w:b/>
          <w:sz w:val="24"/>
          <w:szCs w:val="24"/>
        </w:rPr>
        <w:t>DATE OF SUBMISSION: 11 NOVEMBER 2022</w:t>
      </w:r>
    </w:p>
    <w:p w:rsidR="00F7668B" w:rsidRPr="00EA4295" w:rsidRDefault="00F7668B" w:rsidP="00F7668B">
      <w:pPr>
        <w:spacing w:before="100" w:beforeAutospacing="1" w:after="100" w:afterAutospacing="1" w:line="240" w:lineRule="auto"/>
        <w:ind w:left="720" w:right="26" w:hanging="720"/>
        <w:jc w:val="both"/>
        <w:outlineLvl w:val="0"/>
        <w:rPr>
          <w:rFonts w:ascii="Arial" w:hAnsi="Arial" w:cs="Arial"/>
          <w:b/>
          <w:sz w:val="24"/>
          <w:szCs w:val="24"/>
        </w:rPr>
      </w:pPr>
      <w:r w:rsidRPr="00EA4295">
        <w:rPr>
          <w:rFonts w:ascii="Arial" w:hAnsi="Arial" w:cs="Arial"/>
          <w:b/>
          <w:sz w:val="24"/>
          <w:szCs w:val="24"/>
          <w:lang w:val="en-GB"/>
        </w:rPr>
        <w:t xml:space="preserve">Adv G </w:t>
      </w:r>
      <w:proofErr w:type="spellStart"/>
      <w:r w:rsidRPr="00EA4295">
        <w:rPr>
          <w:rFonts w:ascii="Arial" w:hAnsi="Arial" w:cs="Arial"/>
          <w:b/>
          <w:sz w:val="24"/>
          <w:szCs w:val="24"/>
          <w:lang w:val="en-GB"/>
        </w:rPr>
        <w:t>Breytenbach</w:t>
      </w:r>
      <w:proofErr w:type="spellEnd"/>
      <w:r w:rsidRPr="00EA4295">
        <w:rPr>
          <w:rFonts w:ascii="Arial" w:hAnsi="Arial" w:cs="Arial"/>
          <w:b/>
          <w:sz w:val="24"/>
          <w:szCs w:val="24"/>
          <w:lang w:val="en-GB"/>
        </w:rPr>
        <w:t xml:space="preserve"> (DA) to ask the Minister of Justice</w:t>
      </w:r>
      <w:r w:rsidRPr="00EA4295">
        <w:rPr>
          <w:rFonts w:ascii="Arial" w:hAnsi="Arial" w:cs="Arial"/>
          <w:b/>
          <w:sz w:val="24"/>
          <w:szCs w:val="24"/>
        </w:rPr>
        <w:t xml:space="preserve"> and Correctional Services</w:t>
      </w:r>
      <w:r w:rsidR="007743CD" w:rsidRPr="00EA4295">
        <w:rPr>
          <w:rFonts w:ascii="Arial" w:hAnsi="Arial" w:cs="Arial"/>
          <w:b/>
          <w:sz w:val="24"/>
          <w:szCs w:val="24"/>
        </w:rPr>
        <w:fldChar w:fldCharType="begin"/>
      </w:r>
      <w:r w:rsidRPr="00EA4295">
        <w:rPr>
          <w:rFonts w:ascii="Arial" w:hAnsi="Arial" w:cs="Arial"/>
          <w:sz w:val="24"/>
          <w:szCs w:val="24"/>
        </w:rPr>
        <w:instrText xml:space="preserve"> XE "</w:instrText>
      </w:r>
      <w:r w:rsidRPr="00EA4295">
        <w:rPr>
          <w:rFonts w:ascii="Arial" w:hAnsi="Arial" w:cs="Arial"/>
          <w:b/>
          <w:sz w:val="24"/>
          <w:szCs w:val="24"/>
          <w:lang w:val="en-GB"/>
        </w:rPr>
        <w:instrText>Minister of Justice</w:instrText>
      </w:r>
      <w:r w:rsidRPr="00EA4295">
        <w:rPr>
          <w:rFonts w:ascii="Arial" w:hAnsi="Arial" w:cs="Arial"/>
          <w:b/>
          <w:sz w:val="24"/>
          <w:szCs w:val="24"/>
        </w:rPr>
        <w:instrText xml:space="preserve"> and Correctional Services</w:instrText>
      </w:r>
      <w:r w:rsidRPr="00EA4295">
        <w:rPr>
          <w:rFonts w:ascii="Arial" w:hAnsi="Arial" w:cs="Arial"/>
          <w:sz w:val="24"/>
          <w:szCs w:val="24"/>
        </w:rPr>
        <w:instrText xml:space="preserve">" </w:instrText>
      </w:r>
      <w:r w:rsidR="007743CD" w:rsidRPr="00EA4295">
        <w:rPr>
          <w:rFonts w:ascii="Arial" w:hAnsi="Arial" w:cs="Arial"/>
          <w:b/>
          <w:sz w:val="24"/>
          <w:szCs w:val="24"/>
        </w:rPr>
        <w:fldChar w:fldCharType="end"/>
      </w:r>
      <w:r w:rsidRPr="00EA4295">
        <w:rPr>
          <w:rFonts w:ascii="Arial" w:hAnsi="Arial" w:cs="Arial"/>
          <w:b/>
          <w:sz w:val="24"/>
          <w:szCs w:val="24"/>
        </w:rPr>
        <w:t>:</w:t>
      </w:r>
    </w:p>
    <w:p w:rsidR="00F7668B" w:rsidRPr="00EA4295" w:rsidRDefault="00F7668B" w:rsidP="00EA4295">
      <w:pPr>
        <w:spacing w:before="240" w:line="360" w:lineRule="auto"/>
        <w:ind w:right="305"/>
        <w:jc w:val="both"/>
        <w:rPr>
          <w:rFonts w:ascii="Arial" w:hAnsi="Arial" w:cs="Arial"/>
          <w:sz w:val="24"/>
          <w:szCs w:val="24"/>
        </w:rPr>
      </w:pPr>
      <w:r w:rsidRPr="00EA4295">
        <w:rPr>
          <w:rFonts w:ascii="Arial" w:hAnsi="Arial" w:cs="Arial"/>
          <w:sz w:val="24"/>
          <w:szCs w:val="24"/>
        </w:rPr>
        <w:t xml:space="preserve">With reference to his recent report to the Portfolio Committee on Justice and Correctional Services that the Specialised Commercial Crime Unit (SCCU) finalised 380 cases with 344 convictions, translating to a conviction rate of 90,5%, what (a) total number of the 380 cases were </w:t>
      </w:r>
      <w:r w:rsidRPr="00EA4295">
        <w:rPr>
          <w:rFonts w:ascii="Arial" w:hAnsi="Arial" w:cs="Arial"/>
          <w:color w:val="212121"/>
          <w:sz w:val="24"/>
          <w:szCs w:val="24"/>
        </w:rPr>
        <w:t>dealt</w:t>
      </w:r>
      <w:r w:rsidRPr="00EA4295">
        <w:rPr>
          <w:rFonts w:ascii="Arial" w:hAnsi="Arial" w:cs="Arial"/>
          <w:sz w:val="24"/>
          <w:szCs w:val="24"/>
        </w:rPr>
        <w:t xml:space="preserve"> with by each SCCU unit, (b) were the charges in each specific case, including the quantum, (c) was the identity of the accused in each of the 380 cases, (d) was the specific sentence of each accused in respect of convictions and (e) was the date of (</w:t>
      </w:r>
      <w:proofErr w:type="spellStart"/>
      <w:r w:rsidRPr="00EA4295">
        <w:rPr>
          <w:rFonts w:ascii="Arial" w:hAnsi="Arial" w:cs="Arial"/>
          <w:sz w:val="24"/>
          <w:szCs w:val="24"/>
        </w:rPr>
        <w:t>i</w:t>
      </w:r>
      <w:proofErr w:type="spellEnd"/>
      <w:r w:rsidRPr="00EA4295">
        <w:rPr>
          <w:rFonts w:ascii="Arial" w:hAnsi="Arial" w:cs="Arial"/>
          <w:sz w:val="24"/>
          <w:szCs w:val="24"/>
        </w:rPr>
        <w:t>) enrolment and (ii) finalisation of each case?</w:t>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Pr="00EA4295">
        <w:rPr>
          <w:rFonts w:ascii="Arial" w:hAnsi="Arial" w:cs="Arial"/>
          <w:sz w:val="24"/>
          <w:szCs w:val="24"/>
        </w:rPr>
        <w:tab/>
      </w:r>
      <w:r w:rsidR="00EA4295">
        <w:rPr>
          <w:rFonts w:ascii="Arial" w:hAnsi="Arial" w:cs="Arial"/>
          <w:sz w:val="24"/>
          <w:szCs w:val="24"/>
        </w:rPr>
        <w:tab/>
      </w:r>
      <w:r w:rsidR="00EA4295">
        <w:rPr>
          <w:rFonts w:ascii="Arial" w:hAnsi="Arial" w:cs="Arial"/>
          <w:sz w:val="24"/>
          <w:szCs w:val="24"/>
        </w:rPr>
        <w:tab/>
      </w:r>
      <w:bookmarkStart w:id="0" w:name="_GoBack"/>
      <w:bookmarkEnd w:id="0"/>
      <w:r w:rsidRPr="00EA4295">
        <w:rPr>
          <w:rFonts w:ascii="Arial" w:hAnsi="Arial" w:cs="Arial"/>
          <w:b/>
          <w:sz w:val="24"/>
          <w:szCs w:val="24"/>
        </w:rPr>
        <w:t>NW4945E</w:t>
      </w:r>
    </w:p>
    <w:p w:rsidR="00F7668B" w:rsidRPr="00EA4295" w:rsidRDefault="00F7668B" w:rsidP="00F7668B">
      <w:pPr>
        <w:spacing w:before="240" w:line="240" w:lineRule="auto"/>
        <w:ind w:right="305"/>
        <w:jc w:val="both"/>
        <w:rPr>
          <w:rFonts w:ascii="Arial" w:hAnsi="Arial" w:cs="Arial"/>
          <w:sz w:val="24"/>
          <w:szCs w:val="24"/>
        </w:rPr>
      </w:pPr>
      <w:r w:rsidRPr="00EA4295">
        <w:rPr>
          <w:rFonts w:ascii="Arial" w:hAnsi="Arial" w:cs="Arial"/>
          <w:b/>
          <w:sz w:val="24"/>
          <w:szCs w:val="24"/>
        </w:rPr>
        <w:t>REPLY</w:t>
      </w:r>
      <w:r w:rsidRPr="00EA4295">
        <w:rPr>
          <w:rFonts w:ascii="Arial" w:hAnsi="Arial" w:cs="Arial"/>
          <w:sz w:val="24"/>
          <w:szCs w:val="24"/>
        </w:rPr>
        <w:t xml:space="preserve">: </w:t>
      </w:r>
    </w:p>
    <w:p w:rsidR="00F7668B" w:rsidRPr="00EA4295" w:rsidRDefault="00520618" w:rsidP="00EA4295">
      <w:pPr>
        <w:pStyle w:val="ListParagraph"/>
        <w:numPr>
          <w:ilvl w:val="0"/>
          <w:numId w:val="2"/>
        </w:numPr>
        <w:spacing w:before="240" w:line="360" w:lineRule="auto"/>
        <w:ind w:right="305" w:hanging="720"/>
        <w:jc w:val="both"/>
        <w:rPr>
          <w:rFonts w:ascii="Arial" w:hAnsi="Arial" w:cs="Arial"/>
          <w:sz w:val="24"/>
          <w:szCs w:val="24"/>
        </w:rPr>
      </w:pPr>
      <w:r w:rsidRPr="00EA4295">
        <w:rPr>
          <w:rFonts w:ascii="Arial" w:hAnsi="Arial" w:cs="Arial"/>
          <w:sz w:val="24"/>
          <w:szCs w:val="24"/>
        </w:rPr>
        <w:t xml:space="preserve">The finalised cases reported by the National Prosecuting Authority (NPA) include cases disposed-of within the dedicated commercial crimes courts as well as those finalised by the prosecutors of the Specialised Commercial Crimes Unit (SCCU) in other courts, as the NPA measures the performance of the Unit rather than the dedicated courts. </w:t>
      </w:r>
    </w:p>
    <w:p w:rsidR="00520618" w:rsidRPr="00EA4295" w:rsidRDefault="00520618" w:rsidP="00EA4295">
      <w:pPr>
        <w:spacing w:before="240" w:line="360" w:lineRule="auto"/>
        <w:ind w:left="709" w:right="305"/>
        <w:jc w:val="both"/>
        <w:rPr>
          <w:rFonts w:ascii="Arial" w:hAnsi="Arial" w:cs="Arial"/>
          <w:sz w:val="24"/>
          <w:szCs w:val="24"/>
        </w:rPr>
      </w:pPr>
      <w:r w:rsidRPr="00EA4295">
        <w:rPr>
          <w:rFonts w:ascii="Arial" w:hAnsi="Arial" w:cs="Arial"/>
          <w:sz w:val="24"/>
          <w:szCs w:val="24"/>
        </w:rPr>
        <w:lastRenderedPageBreak/>
        <w:t>The NPA, in collaboration with the Department of Justice and Constitutional Development (</w:t>
      </w:r>
      <w:proofErr w:type="spellStart"/>
      <w:r w:rsidRPr="00EA4295">
        <w:rPr>
          <w:rFonts w:ascii="Arial" w:hAnsi="Arial" w:cs="Arial"/>
          <w:sz w:val="24"/>
          <w:szCs w:val="24"/>
        </w:rPr>
        <w:t>DoJ&amp;CD</w:t>
      </w:r>
      <w:proofErr w:type="spellEnd"/>
      <w:r w:rsidRPr="00EA4295">
        <w:rPr>
          <w:rFonts w:ascii="Arial" w:hAnsi="Arial" w:cs="Arial"/>
          <w:sz w:val="24"/>
          <w:szCs w:val="24"/>
        </w:rPr>
        <w:t xml:space="preserve">) and the Judiciary, established various new dedicated commercial crime courts within the Limpopo, Mpumalanga, North-West and Northern Cape Divisions to ensure that each province has at least one dedicated commercial crimes court.  the work of the SCCU) within the NPA as well as the dedicated courts are closely monitored and part of agenda points not only within the different management structures of the NPA but also in the other departments.  Collaboration is also done in the National Serious Commercial Crimes Steering Committee where all stakeholders participate in improving the conditions and expansion of the dedicated commercial crimes courts. </w:t>
      </w:r>
    </w:p>
    <w:p w:rsidR="00520618" w:rsidRPr="00EA4295" w:rsidRDefault="00520618" w:rsidP="00EA4295">
      <w:pPr>
        <w:spacing w:before="240" w:line="360" w:lineRule="auto"/>
        <w:ind w:left="709" w:right="305"/>
        <w:jc w:val="both"/>
        <w:rPr>
          <w:rFonts w:ascii="Arial" w:hAnsi="Arial" w:cs="Arial"/>
          <w:sz w:val="24"/>
          <w:szCs w:val="24"/>
        </w:rPr>
      </w:pPr>
      <w:r w:rsidRPr="00EA4295">
        <w:rPr>
          <w:rFonts w:ascii="Arial" w:hAnsi="Arial" w:cs="Arial"/>
          <w:sz w:val="24"/>
          <w:szCs w:val="24"/>
        </w:rPr>
        <w:t xml:space="preserve">The table below provides details on the total number of cases dealt with by each </w:t>
      </w:r>
      <w:r w:rsidR="00EA4295" w:rsidRPr="00EA4295">
        <w:rPr>
          <w:rFonts w:ascii="Arial" w:hAnsi="Arial" w:cs="Arial"/>
          <w:sz w:val="24"/>
          <w:szCs w:val="24"/>
        </w:rPr>
        <w:t xml:space="preserve">Special </w:t>
      </w:r>
      <w:r w:rsidRPr="00EA4295">
        <w:rPr>
          <w:rFonts w:ascii="Arial" w:hAnsi="Arial" w:cs="Arial"/>
          <w:sz w:val="24"/>
          <w:szCs w:val="24"/>
        </w:rPr>
        <w:t xml:space="preserve">Commercial Crimes Unit: </w:t>
      </w:r>
    </w:p>
    <w:p w:rsidR="00520618" w:rsidRPr="00EA4295" w:rsidRDefault="00520618" w:rsidP="00520618">
      <w:pPr>
        <w:spacing w:before="240" w:line="240" w:lineRule="auto"/>
        <w:ind w:right="305"/>
        <w:jc w:val="both"/>
        <w:rPr>
          <w:rFonts w:ascii="Arial" w:hAnsi="Arial" w:cs="Arial"/>
          <w:sz w:val="24"/>
          <w:szCs w:val="24"/>
        </w:rPr>
      </w:pPr>
    </w:p>
    <w:tbl>
      <w:tblPr>
        <w:tblStyle w:val="TableGrid"/>
        <w:tblW w:w="0" w:type="auto"/>
        <w:tblLook w:val="04A0"/>
      </w:tblPr>
      <w:tblGrid>
        <w:gridCol w:w="4621"/>
        <w:gridCol w:w="4621"/>
      </w:tblGrid>
      <w:tr w:rsidR="00BC4CCB" w:rsidRPr="00EA4295" w:rsidTr="00EA4295">
        <w:tc>
          <w:tcPr>
            <w:tcW w:w="462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tcPr>
          <w:p w:rsidR="00BC4CCB" w:rsidRPr="00EA4295" w:rsidRDefault="00BC4CCB" w:rsidP="00520618">
            <w:pPr>
              <w:spacing w:before="240"/>
              <w:ind w:right="305"/>
              <w:jc w:val="both"/>
              <w:rPr>
                <w:rFonts w:ascii="Arial" w:hAnsi="Arial" w:cs="Arial"/>
                <w:b/>
                <w:sz w:val="24"/>
                <w:szCs w:val="24"/>
              </w:rPr>
            </w:pPr>
            <w:r w:rsidRPr="00EA4295">
              <w:rPr>
                <w:rFonts w:ascii="Arial" w:hAnsi="Arial" w:cs="Arial"/>
                <w:b/>
                <w:sz w:val="24"/>
                <w:szCs w:val="24"/>
              </w:rPr>
              <w:t xml:space="preserve">NEW DIVISION </w:t>
            </w:r>
          </w:p>
        </w:tc>
        <w:tc>
          <w:tcPr>
            <w:tcW w:w="4621"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548DD4" w:themeFill="text2" w:themeFillTint="99"/>
          </w:tcPr>
          <w:p w:rsidR="00BC4CCB" w:rsidRPr="00EA4295" w:rsidRDefault="00BC4CCB" w:rsidP="00520618">
            <w:pPr>
              <w:spacing w:before="240"/>
              <w:ind w:right="305"/>
              <w:jc w:val="both"/>
              <w:rPr>
                <w:rFonts w:ascii="Arial" w:hAnsi="Arial" w:cs="Arial"/>
                <w:b/>
                <w:sz w:val="24"/>
                <w:szCs w:val="24"/>
              </w:rPr>
            </w:pPr>
            <w:r w:rsidRPr="00EA4295">
              <w:rPr>
                <w:rFonts w:ascii="Arial" w:hAnsi="Arial" w:cs="Arial"/>
                <w:b/>
                <w:sz w:val="24"/>
                <w:szCs w:val="24"/>
              </w:rPr>
              <w:t xml:space="preserve">NO. OF SCCU CONVISTIONS </w:t>
            </w:r>
          </w:p>
        </w:tc>
      </w:tr>
      <w:tr w:rsidR="00BC4CCB" w:rsidRPr="00EA4295" w:rsidTr="00EA4295">
        <w:trPr>
          <w:trHeight w:val="665"/>
        </w:trPr>
        <w:tc>
          <w:tcPr>
            <w:tcW w:w="4621" w:type="dxa"/>
            <w:tcBorders>
              <w:top w:val="single" w:sz="4" w:space="0" w:color="548DD4" w:themeColor="text2" w:themeTint="99"/>
            </w:tcBorders>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 xml:space="preserve">Bloemfontein </w:t>
            </w:r>
          </w:p>
        </w:tc>
        <w:tc>
          <w:tcPr>
            <w:tcW w:w="4621" w:type="dxa"/>
            <w:tcBorders>
              <w:top w:val="single" w:sz="4" w:space="0" w:color="548DD4" w:themeColor="text2" w:themeTint="99"/>
            </w:tcBorders>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10</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 xml:space="preserve">Cape Town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33</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 xml:space="preserve">Durban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47</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ECD</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39</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proofErr w:type="spellStart"/>
            <w:r w:rsidRPr="00EA4295">
              <w:rPr>
                <w:rFonts w:ascii="Arial" w:hAnsi="Arial" w:cs="Arial"/>
                <w:sz w:val="24"/>
                <w:szCs w:val="24"/>
              </w:rPr>
              <w:t>Mmabatho</w:t>
            </w:r>
            <w:proofErr w:type="spellEnd"/>
            <w:r w:rsidRPr="00EA4295">
              <w:rPr>
                <w:rFonts w:ascii="Arial" w:hAnsi="Arial" w:cs="Arial"/>
                <w:sz w:val="24"/>
                <w:szCs w:val="24"/>
              </w:rPr>
              <w:t xml:space="preserve">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6</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 xml:space="preserve">Mpumalanga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9</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proofErr w:type="spellStart"/>
            <w:r w:rsidRPr="00EA4295">
              <w:rPr>
                <w:rFonts w:ascii="Arial" w:hAnsi="Arial" w:cs="Arial"/>
                <w:sz w:val="24"/>
                <w:szCs w:val="24"/>
              </w:rPr>
              <w:t>Mthatha</w:t>
            </w:r>
            <w:proofErr w:type="spellEnd"/>
            <w:r w:rsidRPr="00EA4295">
              <w:rPr>
                <w:rFonts w:ascii="Arial" w:hAnsi="Arial" w:cs="Arial"/>
                <w:sz w:val="24"/>
                <w:szCs w:val="24"/>
              </w:rPr>
              <w:t xml:space="preserve">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41</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 xml:space="preserve">Pretoria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61</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 xml:space="preserve">SCCU Johannesburg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89</w:t>
            </w:r>
          </w:p>
        </w:tc>
      </w:tr>
      <w:tr w:rsidR="00BC4CCB" w:rsidRPr="00EA4295" w:rsidTr="00BC4CCB">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 xml:space="preserve">SCCU Polokwane </w:t>
            </w:r>
          </w:p>
        </w:tc>
        <w:tc>
          <w:tcPr>
            <w:tcW w:w="4621" w:type="dxa"/>
          </w:tcPr>
          <w:p w:rsidR="00BC4CCB" w:rsidRPr="00EA4295" w:rsidRDefault="00BC4CCB" w:rsidP="00520618">
            <w:pPr>
              <w:spacing w:before="240"/>
              <w:ind w:right="305"/>
              <w:jc w:val="both"/>
              <w:rPr>
                <w:rFonts w:ascii="Arial" w:hAnsi="Arial" w:cs="Arial"/>
                <w:sz w:val="24"/>
                <w:szCs w:val="24"/>
              </w:rPr>
            </w:pPr>
            <w:r w:rsidRPr="00EA4295">
              <w:rPr>
                <w:rFonts w:ascii="Arial" w:hAnsi="Arial" w:cs="Arial"/>
                <w:sz w:val="24"/>
                <w:szCs w:val="24"/>
              </w:rPr>
              <w:t>9</w:t>
            </w:r>
          </w:p>
        </w:tc>
      </w:tr>
      <w:tr w:rsidR="00BC4CCB" w:rsidRPr="00EA4295" w:rsidTr="00BC4CCB">
        <w:tc>
          <w:tcPr>
            <w:tcW w:w="4621" w:type="dxa"/>
          </w:tcPr>
          <w:p w:rsidR="00BC4CCB" w:rsidRPr="00EA4295" w:rsidRDefault="00BC4CCB" w:rsidP="00520618">
            <w:pPr>
              <w:spacing w:before="240"/>
              <w:ind w:right="305"/>
              <w:jc w:val="both"/>
              <w:rPr>
                <w:rFonts w:ascii="Arial" w:hAnsi="Arial" w:cs="Arial"/>
                <w:b/>
                <w:sz w:val="24"/>
                <w:szCs w:val="24"/>
              </w:rPr>
            </w:pPr>
            <w:r w:rsidRPr="00EA4295">
              <w:rPr>
                <w:rFonts w:ascii="Arial" w:hAnsi="Arial" w:cs="Arial"/>
                <w:b/>
                <w:sz w:val="24"/>
                <w:szCs w:val="24"/>
              </w:rPr>
              <w:t xml:space="preserve">Grand Total </w:t>
            </w:r>
          </w:p>
        </w:tc>
        <w:tc>
          <w:tcPr>
            <w:tcW w:w="4621" w:type="dxa"/>
          </w:tcPr>
          <w:p w:rsidR="00BC4CCB" w:rsidRPr="00EA4295" w:rsidRDefault="00BC4CCB" w:rsidP="00520618">
            <w:pPr>
              <w:spacing w:before="240"/>
              <w:ind w:right="305"/>
              <w:jc w:val="both"/>
              <w:rPr>
                <w:rFonts w:ascii="Arial" w:hAnsi="Arial" w:cs="Arial"/>
                <w:b/>
                <w:sz w:val="24"/>
                <w:szCs w:val="24"/>
              </w:rPr>
            </w:pPr>
            <w:r w:rsidRPr="00EA4295">
              <w:rPr>
                <w:rFonts w:ascii="Arial" w:hAnsi="Arial" w:cs="Arial"/>
                <w:b/>
                <w:sz w:val="24"/>
                <w:szCs w:val="24"/>
              </w:rPr>
              <w:t>344</w:t>
            </w:r>
          </w:p>
        </w:tc>
      </w:tr>
    </w:tbl>
    <w:p w:rsidR="00520618" w:rsidRPr="00EA4295" w:rsidRDefault="00BC4CCB" w:rsidP="00EA4295">
      <w:pPr>
        <w:pStyle w:val="ListParagraph"/>
        <w:numPr>
          <w:ilvl w:val="0"/>
          <w:numId w:val="2"/>
        </w:numPr>
        <w:spacing w:before="240" w:line="360" w:lineRule="auto"/>
        <w:ind w:right="305"/>
        <w:jc w:val="both"/>
        <w:rPr>
          <w:rFonts w:ascii="Arial" w:hAnsi="Arial" w:cs="Arial"/>
          <w:sz w:val="24"/>
          <w:szCs w:val="24"/>
        </w:rPr>
      </w:pPr>
      <w:r w:rsidRPr="00EA4295">
        <w:rPr>
          <w:rFonts w:ascii="Arial" w:hAnsi="Arial" w:cs="Arial"/>
          <w:sz w:val="24"/>
          <w:szCs w:val="24"/>
        </w:rPr>
        <w:t>The charges in each case from which the convictions were obtained is attached as Annexure “A”, and it also includes information relating to questions (c), (d) and (e). The data requested is kept manually and the information available, mostly from the dedicated commercial crime courts, has been extracted from the manual registers.  The information relating to the quantum is not always included, neither manually or electronically, as it often creates ambiguity when an amount is indicated but in various instances the amount is indicative only of potential value and not actual prejudice sustained. It is also important to note that new selection criteria to adopt cases within the SCCU no longer focus on the quantum of cases but rather the intricacy of cases, national and international priori</w:t>
      </w:r>
      <w:r w:rsidR="00EA4295" w:rsidRPr="00EA4295">
        <w:rPr>
          <w:rFonts w:ascii="Arial" w:hAnsi="Arial" w:cs="Arial"/>
          <w:sz w:val="24"/>
          <w:szCs w:val="24"/>
        </w:rPr>
        <w:t xml:space="preserve">ty as well as other complexity- related criteria. </w:t>
      </w:r>
    </w:p>
    <w:p w:rsidR="00EA4295" w:rsidRPr="00EA4295" w:rsidRDefault="00EA4295" w:rsidP="00EA4295">
      <w:pPr>
        <w:spacing w:before="240" w:line="240" w:lineRule="auto"/>
        <w:ind w:right="305"/>
        <w:jc w:val="both"/>
        <w:rPr>
          <w:rFonts w:ascii="Arial" w:hAnsi="Arial" w:cs="Arial"/>
          <w:b/>
          <w:sz w:val="24"/>
          <w:szCs w:val="24"/>
        </w:rPr>
      </w:pPr>
      <w:r w:rsidRPr="00EA4295">
        <w:rPr>
          <w:rFonts w:ascii="Arial" w:hAnsi="Arial" w:cs="Arial"/>
          <w:b/>
          <w:sz w:val="24"/>
          <w:szCs w:val="24"/>
        </w:rPr>
        <w:t xml:space="preserve">END </w:t>
      </w:r>
    </w:p>
    <w:p w:rsidR="00F7668B" w:rsidRPr="00EA4295" w:rsidRDefault="00F7668B" w:rsidP="00F7668B">
      <w:pPr>
        <w:spacing w:before="240" w:line="240" w:lineRule="auto"/>
        <w:ind w:left="709" w:right="305" w:firstLine="11"/>
        <w:jc w:val="both"/>
        <w:rPr>
          <w:rFonts w:ascii="Arial" w:hAnsi="Arial" w:cs="Arial"/>
          <w:sz w:val="24"/>
          <w:szCs w:val="24"/>
        </w:rPr>
      </w:pPr>
    </w:p>
    <w:p w:rsidR="00F7668B" w:rsidRPr="00EA4295" w:rsidRDefault="00F7668B" w:rsidP="00F7668B">
      <w:pPr>
        <w:spacing w:before="240" w:line="240" w:lineRule="auto"/>
        <w:ind w:left="709" w:right="305" w:firstLine="11"/>
        <w:jc w:val="both"/>
        <w:rPr>
          <w:rFonts w:ascii="Arial" w:hAnsi="Arial" w:cs="Arial"/>
          <w:sz w:val="24"/>
          <w:szCs w:val="24"/>
        </w:rPr>
      </w:pPr>
    </w:p>
    <w:p w:rsidR="00F7668B" w:rsidRPr="00EA4295" w:rsidRDefault="00F7668B" w:rsidP="00F7668B">
      <w:pPr>
        <w:rPr>
          <w:rFonts w:ascii="Arial" w:hAnsi="Arial" w:cs="Arial"/>
          <w:sz w:val="24"/>
          <w:szCs w:val="24"/>
        </w:rPr>
      </w:pPr>
    </w:p>
    <w:p w:rsidR="00F7668B" w:rsidRPr="00EA4295" w:rsidRDefault="00F7668B" w:rsidP="00F7668B">
      <w:pPr>
        <w:rPr>
          <w:rFonts w:ascii="Arial" w:hAnsi="Arial" w:cs="Arial"/>
          <w:sz w:val="24"/>
          <w:szCs w:val="24"/>
        </w:rPr>
      </w:pPr>
    </w:p>
    <w:sectPr w:rsidR="00F7668B" w:rsidRPr="00EA4295" w:rsidSect="00EA429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0FE" w:rsidRDefault="000760FE" w:rsidP="00E82A53">
      <w:pPr>
        <w:spacing w:after="0" w:line="240" w:lineRule="auto"/>
      </w:pPr>
      <w:r>
        <w:separator/>
      </w:r>
    </w:p>
  </w:endnote>
  <w:endnote w:type="continuationSeparator" w:id="0">
    <w:p w:rsidR="000760FE" w:rsidRDefault="000760FE"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0FE" w:rsidRDefault="000760FE" w:rsidP="00E82A53">
      <w:pPr>
        <w:spacing w:after="0" w:line="240" w:lineRule="auto"/>
      </w:pPr>
      <w:r>
        <w:separator/>
      </w:r>
    </w:p>
  </w:footnote>
  <w:footnote w:type="continuationSeparator" w:id="0">
    <w:p w:rsidR="000760FE" w:rsidRDefault="000760FE"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71942"/>
    <w:multiLevelType w:val="hybridMultilevel"/>
    <w:tmpl w:val="546051FC"/>
    <w:lvl w:ilvl="0" w:tplc="C3C29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C51138"/>
    <w:multiLevelType w:val="hybridMultilevel"/>
    <w:tmpl w:val="6B46F7C4"/>
    <w:lvl w:ilvl="0" w:tplc="F8C68400">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0760FE"/>
    <w:rsid w:val="00464163"/>
    <w:rsid w:val="00520618"/>
    <w:rsid w:val="005D40C3"/>
    <w:rsid w:val="007743CD"/>
    <w:rsid w:val="009411C1"/>
    <w:rsid w:val="00BC4CCB"/>
    <w:rsid w:val="00E17322"/>
    <w:rsid w:val="00E82A53"/>
    <w:rsid w:val="00EA4295"/>
    <w:rsid w:val="00F421BE"/>
    <w:rsid w:val="00F7668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3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520618"/>
    <w:pPr>
      <w:ind w:left="720"/>
      <w:contextualSpacing/>
    </w:pPr>
  </w:style>
  <w:style w:type="table" w:styleId="TableGrid">
    <w:name w:val="Table Grid"/>
    <w:basedOn w:val="TableNormal"/>
    <w:uiPriority w:val="59"/>
    <w:rsid w:val="00BC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520618"/>
    <w:pPr>
      <w:ind w:left="720"/>
      <w:contextualSpacing/>
    </w:pPr>
  </w:style>
  <w:style w:type="table" w:styleId="TableGrid">
    <w:name w:val="Table Grid"/>
    <w:basedOn w:val="TableNormal"/>
    <w:uiPriority w:val="59"/>
    <w:rsid w:val="00BC4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2022-12-07T10:17:00Z</dcterms:created>
  <dcterms:modified xsi:type="dcterms:W3CDTF">2022-12-07T10:17:00Z</dcterms:modified>
</cp:coreProperties>
</file>