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5866A9" w:rsidRDefault="005C4707" w:rsidP="005C4707">
      <w:pPr>
        <w:spacing w:line="360" w:lineRule="auto"/>
        <w:jc w:val="center"/>
        <w:rPr>
          <w:rFonts w:ascii="Arial" w:hAnsi="Arial" w:cs="Arial"/>
          <w:b/>
          <w:sz w:val="22"/>
          <w:szCs w:val="22"/>
        </w:rPr>
      </w:pPr>
      <w:bookmarkStart w:id="0" w:name="_Hlk34206045"/>
      <w:bookmarkStart w:id="1" w:name="_Hlk74243434"/>
      <w:bookmarkStart w:id="2" w:name="_Hlk95472905"/>
      <w:r w:rsidRPr="005866A9">
        <w:rPr>
          <w:rFonts w:ascii="Arial" w:hAnsi="Arial" w:cs="Arial"/>
          <w:b/>
          <w:sz w:val="22"/>
          <w:szCs w:val="22"/>
        </w:rPr>
        <w:t>NATIONAL ASSEMBLY</w:t>
      </w:r>
    </w:p>
    <w:p w:rsidR="005C4707" w:rsidRPr="005866A9" w:rsidRDefault="005C4707" w:rsidP="005C4707">
      <w:pPr>
        <w:spacing w:line="360" w:lineRule="auto"/>
        <w:jc w:val="center"/>
        <w:rPr>
          <w:rFonts w:ascii="Arial" w:hAnsi="Arial" w:cs="Arial"/>
          <w:b/>
          <w:sz w:val="22"/>
          <w:szCs w:val="22"/>
        </w:rPr>
      </w:pPr>
      <w:r w:rsidRPr="005866A9">
        <w:rPr>
          <w:rFonts w:ascii="Arial" w:hAnsi="Arial" w:cs="Arial"/>
          <w:b/>
          <w:sz w:val="22"/>
          <w:szCs w:val="22"/>
        </w:rPr>
        <w:t>QUESTION FOR WRITTEN REPLY</w:t>
      </w:r>
    </w:p>
    <w:p w:rsidR="005C4707" w:rsidRPr="00B71EA9" w:rsidRDefault="005C4707" w:rsidP="005C4707">
      <w:pPr>
        <w:spacing w:line="360" w:lineRule="auto"/>
        <w:jc w:val="center"/>
        <w:rPr>
          <w:rFonts w:ascii="Arial" w:hAnsi="Arial" w:cs="Arial"/>
          <w:b/>
          <w:sz w:val="22"/>
          <w:szCs w:val="22"/>
        </w:rPr>
      </w:pPr>
      <w:bookmarkStart w:id="3" w:name="_Hlk65832587"/>
      <w:bookmarkStart w:id="4" w:name="_Hlk55548705"/>
      <w:bookmarkStart w:id="5" w:name="_Hlk114209844"/>
      <w:bookmarkStart w:id="6" w:name="_Hlk121139805"/>
      <w:r w:rsidRPr="00B71EA9">
        <w:rPr>
          <w:rFonts w:ascii="Arial" w:hAnsi="Arial" w:cs="Arial"/>
          <w:b/>
          <w:sz w:val="22"/>
          <w:szCs w:val="22"/>
        </w:rPr>
        <w:t>QUESTION NUMBER:</w:t>
      </w:r>
      <w:r w:rsidR="00313E11">
        <w:rPr>
          <w:rFonts w:ascii="Arial" w:hAnsi="Arial" w:cs="Arial"/>
          <w:b/>
          <w:sz w:val="22"/>
          <w:szCs w:val="22"/>
        </w:rPr>
        <w:t xml:space="preserve"> </w:t>
      </w:r>
      <w:bookmarkStart w:id="7" w:name="_Hlk34208942"/>
      <w:bookmarkStart w:id="8" w:name="_Hlk49113957"/>
      <w:r w:rsidR="0091081F" w:rsidRPr="0091081F">
        <w:rPr>
          <w:rFonts w:ascii="Arial" w:hAnsi="Arial" w:cs="Arial"/>
          <w:b/>
          <w:sz w:val="22"/>
          <w:szCs w:val="22"/>
          <w:lang w:val="en-GB"/>
        </w:rPr>
        <w:t>3973</w:t>
      </w:r>
      <w:r w:rsidR="00313E11">
        <w:rPr>
          <w:rFonts w:ascii="Arial" w:hAnsi="Arial" w:cs="Arial"/>
          <w:b/>
          <w:sz w:val="22"/>
          <w:szCs w:val="22"/>
        </w:rPr>
        <w:t xml:space="preserve"> </w:t>
      </w:r>
      <w:r w:rsidRPr="00B71EA9">
        <w:rPr>
          <w:rFonts w:ascii="Arial" w:hAnsi="Arial" w:cs="Arial"/>
          <w:b/>
          <w:sz w:val="22"/>
          <w:szCs w:val="22"/>
        </w:rPr>
        <w:t>[</w:t>
      </w:r>
      <w:r w:rsidR="003F135F" w:rsidRPr="003F135F">
        <w:rPr>
          <w:rFonts w:ascii="Arial" w:hAnsi="Arial" w:cs="Arial"/>
          <w:b/>
          <w:sz w:val="22"/>
          <w:szCs w:val="22"/>
        </w:rPr>
        <w:t>NW4942E</w:t>
      </w:r>
      <w:r w:rsidRPr="00B71EA9">
        <w:rPr>
          <w:rFonts w:ascii="Arial" w:hAnsi="Arial" w:cs="Arial"/>
          <w:b/>
          <w:sz w:val="22"/>
          <w:szCs w:val="22"/>
        </w:rPr>
        <w:t>]</w:t>
      </w:r>
      <w:bookmarkEnd w:id="7"/>
    </w:p>
    <w:p w:rsidR="005C4707" w:rsidRPr="00CE4B61" w:rsidRDefault="005C4707" w:rsidP="00CE4B61">
      <w:pPr>
        <w:spacing w:line="360" w:lineRule="auto"/>
        <w:jc w:val="center"/>
        <w:rPr>
          <w:rFonts w:ascii="Arial" w:hAnsi="Arial" w:cs="Arial"/>
          <w:b/>
          <w:sz w:val="22"/>
          <w:szCs w:val="22"/>
        </w:rPr>
      </w:pPr>
      <w:r w:rsidRPr="005866A9">
        <w:rPr>
          <w:rFonts w:ascii="Arial" w:hAnsi="Arial" w:cs="Arial"/>
          <w:b/>
          <w:sz w:val="22"/>
          <w:szCs w:val="22"/>
        </w:rPr>
        <w:t xml:space="preserve">DATE OF PUBLICATION: </w:t>
      </w:r>
      <w:bookmarkEnd w:id="0"/>
      <w:bookmarkEnd w:id="1"/>
      <w:bookmarkEnd w:id="2"/>
      <w:bookmarkEnd w:id="3"/>
      <w:bookmarkEnd w:id="4"/>
      <w:bookmarkEnd w:id="8"/>
      <w:r w:rsidR="00301DBA">
        <w:rPr>
          <w:rFonts w:ascii="Arial" w:hAnsi="Arial" w:cs="Arial"/>
          <w:b/>
          <w:sz w:val="22"/>
          <w:szCs w:val="22"/>
        </w:rPr>
        <w:t>28</w:t>
      </w:r>
      <w:r w:rsidR="00CE4B61">
        <w:rPr>
          <w:rFonts w:ascii="Arial" w:hAnsi="Arial" w:cs="Arial"/>
          <w:b/>
          <w:sz w:val="22"/>
          <w:szCs w:val="22"/>
        </w:rPr>
        <w:t xml:space="preserve"> </w:t>
      </w:r>
      <w:r w:rsidR="00B71EA9">
        <w:rPr>
          <w:rFonts w:ascii="Arial" w:hAnsi="Arial" w:cs="Arial"/>
          <w:b/>
          <w:sz w:val="22"/>
          <w:szCs w:val="22"/>
        </w:rPr>
        <w:t>OCTOBER</w:t>
      </w:r>
      <w:r w:rsidR="00CE4B61" w:rsidRPr="005866A9">
        <w:rPr>
          <w:rFonts w:ascii="Arial" w:hAnsi="Arial" w:cs="Arial"/>
          <w:b/>
          <w:sz w:val="22"/>
          <w:szCs w:val="22"/>
        </w:rPr>
        <w:t xml:space="preserve"> 2022</w:t>
      </w:r>
    </w:p>
    <w:bookmarkEnd w:id="5"/>
    <w:p w:rsidR="0091081F" w:rsidRPr="0091081F" w:rsidRDefault="0091081F" w:rsidP="003C0B92">
      <w:pPr>
        <w:spacing w:before="100" w:beforeAutospacing="1" w:after="100" w:afterAutospacing="1" w:line="276" w:lineRule="auto"/>
        <w:ind w:left="720" w:right="26" w:hanging="720"/>
        <w:jc w:val="both"/>
        <w:outlineLvl w:val="0"/>
        <w:rPr>
          <w:rFonts w:ascii="Arial" w:eastAsia="Calibri" w:hAnsi="Arial" w:cs="Arial"/>
          <w:sz w:val="22"/>
          <w:szCs w:val="22"/>
        </w:rPr>
      </w:pPr>
      <w:r w:rsidRPr="0091081F">
        <w:rPr>
          <w:rFonts w:ascii="Arial" w:hAnsi="Arial" w:cs="Arial"/>
          <w:b/>
          <w:sz w:val="22"/>
          <w:szCs w:val="22"/>
          <w:lang w:val="en-GB"/>
        </w:rPr>
        <w:t>3973.</w:t>
      </w:r>
      <w:r w:rsidRPr="0091081F">
        <w:rPr>
          <w:rFonts w:ascii="Arial" w:hAnsi="Arial" w:cs="Arial"/>
          <w:b/>
          <w:sz w:val="22"/>
          <w:szCs w:val="22"/>
          <w:lang w:val="en-GB"/>
        </w:rPr>
        <w:tab/>
        <w:t xml:space="preserve">Mr R A Lees </w:t>
      </w:r>
      <w:bookmarkEnd w:id="6"/>
      <w:r w:rsidRPr="0091081F">
        <w:rPr>
          <w:rFonts w:ascii="Arial" w:hAnsi="Arial" w:cs="Arial"/>
          <w:b/>
          <w:sz w:val="22"/>
          <w:szCs w:val="22"/>
          <w:lang w:val="en-GB"/>
        </w:rPr>
        <w:t>(DA) to ask the Minister of Finance</w:t>
      </w:r>
      <w:r w:rsidR="00B21948" w:rsidRPr="0091081F">
        <w:rPr>
          <w:rFonts w:ascii="Arial" w:hAnsi="Arial" w:cs="Arial"/>
          <w:b/>
          <w:sz w:val="22"/>
          <w:szCs w:val="22"/>
          <w:lang w:val="en-GB"/>
        </w:rPr>
        <w:fldChar w:fldCharType="begin"/>
      </w:r>
      <w:r w:rsidRPr="0091081F">
        <w:rPr>
          <w:rFonts w:ascii="Arial" w:hAnsi="Arial" w:cs="Arial"/>
          <w:sz w:val="22"/>
          <w:szCs w:val="22"/>
        </w:rPr>
        <w:instrText xml:space="preserve"> XE "</w:instrText>
      </w:r>
      <w:r w:rsidRPr="0091081F">
        <w:rPr>
          <w:rFonts w:ascii="Arial" w:hAnsi="Arial" w:cs="Arial"/>
          <w:b/>
          <w:sz w:val="22"/>
          <w:szCs w:val="22"/>
          <w:lang w:val="en-GB"/>
        </w:rPr>
        <w:instrText>Minister of Finance</w:instrText>
      </w:r>
      <w:r w:rsidRPr="0091081F">
        <w:rPr>
          <w:rFonts w:ascii="Arial" w:hAnsi="Arial" w:cs="Arial"/>
          <w:sz w:val="22"/>
          <w:szCs w:val="22"/>
        </w:rPr>
        <w:instrText xml:space="preserve">" </w:instrText>
      </w:r>
      <w:r w:rsidR="00B21948" w:rsidRPr="0091081F">
        <w:rPr>
          <w:rFonts w:ascii="Arial" w:hAnsi="Arial" w:cs="Arial"/>
          <w:b/>
          <w:sz w:val="22"/>
          <w:szCs w:val="22"/>
          <w:lang w:val="en-GB"/>
        </w:rPr>
        <w:fldChar w:fldCharType="end"/>
      </w:r>
      <w:r w:rsidRPr="0091081F">
        <w:rPr>
          <w:rFonts w:ascii="Arial" w:hAnsi="Arial" w:cs="Arial"/>
          <w:b/>
          <w:sz w:val="22"/>
          <w:szCs w:val="22"/>
          <w:lang w:val="en-GB"/>
        </w:rPr>
        <w:t>:</w:t>
      </w:r>
    </w:p>
    <w:p w:rsidR="0091081F" w:rsidRPr="0091081F" w:rsidRDefault="0091081F" w:rsidP="003C0B92">
      <w:pPr>
        <w:spacing w:before="240" w:line="276" w:lineRule="auto"/>
        <w:ind w:left="709" w:right="305" w:firstLine="11"/>
        <w:jc w:val="both"/>
        <w:rPr>
          <w:rFonts w:ascii="Verdana" w:hAnsi="Verdana"/>
        </w:rPr>
      </w:pPr>
      <w:r w:rsidRPr="0091081F">
        <w:rPr>
          <w:rFonts w:ascii="Arial" w:hAnsi="Arial" w:cs="Arial"/>
          <w:sz w:val="22"/>
          <w:szCs w:val="22"/>
        </w:rPr>
        <w:t xml:space="preserve">Whether, with regard to the Public Finance Management Act, Act 1 of 1999, that provides for the relevant treasury and/or executive authority to institute disciplinary action against an accounting officer charged with financial misconduct, the National Treasury has ever triggered the provisions against accounting officers in government departments in view of the </w:t>
      </w:r>
      <w:r w:rsidRPr="0091081F">
        <w:rPr>
          <w:rFonts w:ascii="Arial" w:hAnsi="Arial" w:cs="Arial"/>
          <w:color w:val="212121"/>
          <w:sz w:val="22"/>
          <w:szCs w:val="22"/>
        </w:rPr>
        <w:t>perennial</w:t>
      </w:r>
      <w:r w:rsidRPr="0091081F">
        <w:rPr>
          <w:rFonts w:ascii="Arial" w:hAnsi="Arial" w:cs="Arial"/>
          <w:sz w:val="22"/>
          <w:szCs w:val="22"/>
        </w:rPr>
        <w:t xml:space="preserve"> problem of fruitless, irregular and wasteful expenditure showing no signs of improvement; if not, why not; if so, what are the relevant details?</w:t>
      </w:r>
      <w:r w:rsidRPr="0091081F">
        <w:rPr>
          <w:rFonts w:ascii="Verdana" w:hAnsi="Verdana"/>
        </w:rPr>
        <w:tab/>
      </w:r>
      <w:r w:rsidRPr="0091081F">
        <w:rPr>
          <w:rFonts w:ascii="Verdana" w:hAnsi="Verdana"/>
        </w:rPr>
        <w:tab/>
      </w:r>
      <w:r w:rsidRPr="0091081F">
        <w:rPr>
          <w:rFonts w:ascii="Verdana" w:hAnsi="Verdana"/>
        </w:rPr>
        <w:tab/>
      </w:r>
      <w:r w:rsidRPr="0091081F">
        <w:rPr>
          <w:rFonts w:ascii="Verdana" w:hAnsi="Verdana"/>
        </w:rPr>
        <w:tab/>
      </w:r>
      <w:r w:rsidRPr="0091081F">
        <w:rPr>
          <w:rFonts w:ascii="Verdana" w:hAnsi="Verdana"/>
        </w:rPr>
        <w:tab/>
      </w:r>
      <w:r w:rsidRPr="0091081F">
        <w:rPr>
          <w:rFonts w:ascii="Verdana" w:hAnsi="Verdana"/>
        </w:rPr>
        <w:tab/>
      </w:r>
      <w:r w:rsidRPr="0091081F">
        <w:rPr>
          <w:rFonts w:ascii="Verdana" w:hAnsi="Verdana"/>
        </w:rPr>
        <w:tab/>
      </w:r>
      <w:r w:rsidRPr="0091081F">
        <w:rPr>
          <w:rFonts w:ascii="Verdana" w:hAnsi="Verdana"/>
        </w:rPr>
        <w:tab/>
      </w:r>
      <w:r w:rsidRPr="0091081F">
        <w:rPr>
          <w:rFonts w:ascii="Verdana" w:hAnsi="Verdana"/>
        </w:rPr>
        <w:tab/>
      </w:r>
      <w:r w:rsidRPr="0091081F">
        <w:rPr>
          <w:rFonts w:ascii="Verdana" w:hAnsi="Verdana"/>
        </w:rPr>
        <w:tab/>
        <w:t xml:space="preserve"> </w:t>
      </w:r>
      <w:r w:rsidRPr="0091081F">
        <w:rPr>
          <w:rFonts w:ascii="Verdana" w:hAnsi="Verdana"/>
        </w:rPr>
        <w:tab/>
      </w:r>
      <w:r w:rsidRPr="0091081F">
        <w:rPr>
          <w:rFonts w:ascii="Verdana" w:hAnsi="Verdana"/>
        </w:rPr>
        <w:tab/>
      </w:r>
      <w:r w:rsidRPr="0091081F">
        <w:rPr>
          <w:rFonts w:ascii="Verdana" w:hAnsi="Verdana"/>
        </w:rPr>
        <w:tab/>
      </w:r>
      <w:r w:rsidRPr="0091081F">
        <w:rPr>
          <w:rFonts w:ascii="Verdana" w:hAnsi="Verdana"/>
        </w:rPr>
        <w:tab/>
      </w:r>
      <w:r w:rsidRPr="0091081F">
        <w:rPr>
          <w:rFonts w:ascii="Verdana" w:hAnsi="Verdana"/>
        </w:rPr>
        <w:tab/>
      </w:r>
      <w:r w:rsidRPr="0091081F">
        <w:rPr>
          <w:rFonts w:ascii="Verdana" w:hAnsi="Verdana"/>
        </w:rPr>
        <w:tab/>
      </w:r>
      <w:r w:rsidRPr="0091081F">
        <w:rPr>
          <w:rFonts w:ascii="Verdana" w:hAnsi="Verdana"/>
        </w:rPr>
        <w:tab/>
        <w:t xml:space="preserve">    </w:t>
      </w:r>
      <w:r>
        <w:rPr>
          <w:rFonts w:ascii="Verdana" w:hAnsi="Verdana"/>
        </w:rPr>
        <w:t xml:space="preserve">            </w:t>
      </w:r>
      <w:r w:rsidRPr="0091081F">
        <w:rPr>
          <w:rFonts w:ascii="Arial" w:hAnsi="Arial" w:cs="Arial"/>
          <w:sz w:val="20"/>
          <w:szCs w:val="20"/>
        </w:rPr>
        <w:t>NW4942E</w:t>
      </w:r>
    </w:p>
    <w:p w:rsidR="005C4707" w:rsidRPr="005866A9" w:rsidRDefault="005C4707" w:rsidP="005C4707">
      <w:pPr>
        <w:spacing w:before="100" w:beforeAutospacing="1" w:after="100" w:afterAutospacing="1" w:line="276" w:lineRule="auto"/>
        <w:jc w:val="both"/>
        <w:outlineLvl w:val="0"/>
        <w:rPr>
          <w:rFonts w:ascii="Arial" w:hAnsi="Arial" w:cs="Arial"/>
          <w:b/>
          <w:sz w:val="22"/>
          <w:szCs w:val="22"/>
        </w:rPr>
      </w:pPr>
      <w:r w:rsidRPr="005866A9">
        <w:rPr>
          <w:rFonts w:ascii="Arial" w:hAnsi="Arial" w:cs="Arial"/>
          <w:b/>
          <w:sz w:val="22"/>
          <w:szCs w:val="22"/>
        </w:rPr>
        <w:t>REPLY</w:t>
      </w:r>
    </w:p>
    <w:p w:rsidR="00250E12" w:rsidRDefault="00250E12" w:rsidP="00453BF0">
      <w:p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The disciplinary process is governed by the Public Service Act and not the Public Finance Management Act (PFMA).  The PFMA in its current form does not provide the National Treasury with powers to institute disciplinary action against accounting officers. Information related to disciplinary action instituted in departments can be found in annual reports of those departments. The Frameworks issued by the National Treasury on unauthorised, irregular and fruitless and wasteful expenditure prescribes the process and requirements that should be followed by departments, constitutional institutions, trading entities and public entities when dealing with matters of financial misconduct linked to these expenditures.</w:t>
      </w:r>
    </w:p>
    <w:p w:rsidR="005C2780" w:rsidRDefault="005C2780" w:rsidP="00453BF0">
      <w:p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Section 85(1)(a) of the PFMA provides that, the Minister must make regulations prescribing the manner, form and circumstances in which allegations and disciplinary and criminal charges of financial misconduct must be reported to the National Treasury, the relevant provincial treasury and the Auditor-General including (i) particulars of the alleged financial misconduct; and (ii) the steps taken in connection with such financial misconduct.</w:t>
      </w:r>
    </w:p>
    <w:p w:rsidR="00AA71E4" w:rsidRPr="00250E12" w:rsidRDefault="00AA71E4" w:rsidP="00453BF0">
      <w:p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 xml:space="preserve">Treasury Regulation 4.1.3 states that, if an accounting officer is alleged to have committed financial misconduct, the relevant treasury, as soon as it becomes aware of the alleged misconduct, must ensure that the relevant executive authority initiates an investigation into the matter and if the allegations are confirmed, holds disciplinary hearing in accordance with the prescripts appliable and agreement applicable in the public service. The relevant treasury may also direct that (a) an official other than the employee of the department conducts the investigation or (b) issues reasonable requirement regarding the way in which the investigation </w:t>
      </w:r>
      <w:r w:rsidRPr="00250E12">
        <w:rPr>
          <w:rFonts w:ascii="Arial" w:hAnsi="Arial" w:cs="Arial"/>
          <w:sz w:val="22"/>
          <w:szCs w:val="22"/>
        </w:rPr>
        <w:t>should be performed as provided in Treasury Regulations 4.1.4.</w:t>
      </w:r>
    </w:p>
    <w:p w:rsidR="00250E12" w:rsidRDefault="00A01B8F" w:rsidP="00250E12">
      <w:pPr>
        <w:spacing w:before="100" w:beforeAutospacing="1" w:after="100" w:afterAutospacing="1" w:line="276" w:lineRule="auto"/>
        <w:jc w:val="both"/>
        <w:outlineLvl w:val="0"/>
        <w:rPr>
          <w:rFonts w:ascii="Arial" w:hAnsi="Arial" w:cs="Arial"/>
          <w:sz w:val="22"/>
          <w:szCs w:val="22"/>
        </w:rPr>
      </w:pPr>
      <w:r w:rsidRPr="00250E12">
        <w:rPr>
          <w:rFonts w:ascii="Arial" w:hAnsi="Arial" w:cs="Arial"/>
          <w:sz w:val="22"/>
          <w:szCs w:val="22"/>
        </w:rPr>
        <w:t xml:space="preserve">Therefore, </w:t>
      </w:r>
      <w:r w:rsidR="002F66A5" w:rsidRPr="00250E12">
        <w:rPr>
          <w:rFonts w:ascii="Arial" w:hAnsi="Arial" w:cs="Arial"/>
          <w:sz w:val="22"/>
          <w:szCs w:val="22"/>
        </w:rPr>
        <w:t>The Frameworks can be found on the National Treasury website at the following link</w:t>
      </w:r>
      <w:r w:rsidR="00250E12">
        <w:rPr>
          <w:rFonts w:ascii="Arial" w:hAnsi="Arial" w:cs="Arial"/>
          <w:sz w:val="22"/>
          <w:szCs w:val="22"/>
        </w:rPr>
        <w:t>s</w:t>
      </w:r>
      <w:r w:rsidR="002F66A5" w:rsidRPr="00250E12">
        <w:rPr>
          <w:rFonts w:ascii="Arial" w:hAnsi="Arial" w:cs="Arial"/>
          <w:sz w:val="22"/>
          <w:szCs w:val="22"/>
        </w:rPr>
        <w:t>:</w:t>
      </w:r>
    </w:p>
    <w:p w:rsidR="002F66A5" w:rsidRPr="00250E12" w:rsidRDefault="00B21948" w:rsidP="00250E12">
      <w:pPr>
        <w:spacing w:before="100" w:beforeAutospacing="1" w:after="100" w:afterAutospacing="1" w:line="276" w:lineRule="auto"/>
        <w:jc w:val="both"/>
        <w:outlineLvl w:val="0"/>
        <w:rPr>
          <w:rFonts w:ascii="Arial" w:hAnsi="Arial" w:cs="Arial"/>
          <w:sz w:val="22"/>
          <w:szCs w:val="22"/>
        </w:rPr>
      </w:pPr>
      <w:hyperlink r:id="rId9" w:history="1">
        <w:r w:rsidR="002F66A5" w:rsidRPr="00250E12">
          <w:rPr>
            <w:rStyle w:val="Hyperlink"/>
            <w:rFonts w:ascii="Arial" w:hAnsi="Arial" w:cs="Arial"/>
            <w:sz w:val="22"/>
            <w:szCs w:val="22"/>
          </w:rPr>
          <w:t>www.treasury.gov.za/legislation/pfma/TreasuryInstruction/Annexure A Irregular Expenditure Framework 20192020.pdf</w:t>
        </w:r>
      </w:hyperlink>
    </w:p>
    <w:p w:rsidR="002F66A5" w:rsidRDefault="00B21948" w:rsidP="002F66A5">
      <w:pPr>
        <w:spacing w:line="276" w:lineRule="auto"/>
        <w:jc w:val="both"/>
        <w:outlineLvl w:val="0"/>
        <w:rPr>
          <w:rStyle w:val="Hyperlink"/>
          <w:rFonts w:ascii="Arial" w:hAnsi="Arial" w:cs="Arial"/>
          <w:sz w:val="22"/>
          <w:szCs w:val="22"/>
        </w:rPr>
      </w:pPr>
      <w:hyperlink r:id="rId10" w:history="1">
        <w:r w:rsidR="002F66A5" w:rsidRPr="00250E12">
          <w:rPr>
            <w:rStyle w:val="Hyperlink"/>
            <w:rFonts w:ascii="Arial" w:hAnsi="Arial" w:cs="Arial"/>
            <w:sz w:val="22"/>
            <w:szCs w:val="22"/>
          </w:rPr>
          <w:t>http://www.treasury.gov.za/legislation/pfma/TreasuryInstruction/Annexure%20A%20Fruitless%20and%20Wasteful%20Framework.pdf</w:t>
        </w:r>
      </w:hyperlink>
    </w:p>
    <w:p w:rsidR="00250E12" w:rsidRPr="00250E12" w:rsidRDefault="00250E12" w:rsidP="002F66A5">
      <w:pPr>
        <w:spacing w:line="276" w:lineRule="auto"/>
        <w:jc w:val="both"/>
        <w:outlineLvl w:val="0"/>
        <w:rPr>
          <w:rFonts w:ascii="Arial" w:hAnsi="Arial" w:cs="Arial"/>
          <w:sz w:val="22"/>
          <w:szCs w:val="22"/>
        </w:rPr>
      </w:pPr>
    </w:p>
    <w:p w:rsidR="002F66A5" w:rsidRPr="00250E12" w:rsidRDefault="00B21948" w:rsidP="002F66A5">
      <w:pPr>
        <w:spacing w:line="276" w:lineRule="auto"/>
        <w:jc w:val="both"/>
        <w:outlineLvl w:val="0"/>
        <w:rPr>
          <w:rFonts w:ascii="Arial" w:hAnsi="Arial" w:cs="Arial"/>
          <w:sz w:val="22"/>
          <w:szCs w:val="22"/>
        </w:rPr>
      </w:pPr>
      <w:hyperlink r:id="rId11" w:history="1">
        <w:r w:rsidR="002F66A5" w:rsidRPr="00250E12">
          <w:rPr>
            <w:rStyle w:val="Hyperlink"/>
            <w:rFonts w:ascii="Arial" w:hAnsi="Arial" w:cs="Arial"/>
            <w:sz w:val="22"/>
            <w:szCs w:val="22"/>
          </w:rPr>
          <w:t>http://www.treasury.gov.za/legislation/pfma/guidelines/Guideline%20on%20Unathorised%20Expenditure%2027%20May%202014.pdf</w:t>
        </w:r>
      </w:hyperlink>
    </w:p>
    <w:p w:rsidR="00830DA0" w:rsidRDefault="00830DA0">
      <w:pPr>
        <w:spacing w:after="160" w:line="259" w:lineRule="auto"/>
        <w:rPr>
          <w:rFonts w:ascii="Arial" w:hAnsi="Arial" w:cs="Arial"/>
          <w:b/>
          <w:sz w:val="22"/>
          <w:szCs w:val="22"/>
          <w:u w:val="single"/>
        </w:rPr>
      </w:pPr>
    </w:p>
    <w:sectPr w:rsidR="00830DA0" w:rsidSect="00D537FD">
      <w:footerReference w:type="default" r:id="rId12"/>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4EB" w:rsidRDefault="005814EB">
      <w:r>
        <w:separator/>
      </w:r>
    </w:p>
  </w:endnote>
  <w:endnote w:type="continuationSeparator" w:id="0">
    <w:p w:rsidR="005814EB" w:rsidRDefault="005814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B21948">
        <w:pPr>
          <w:pStyle w:val="Footer"/>
          <w:jc w:val="center"/>
        </w:pPr>
        <w:r>
          <w:fldChar w:fldCharType="begin"/>
        </w:r>
        <w:r w:rsidR="00E63254">
          <w:instrText xml:space="preserve"> PAGE   \* MERGEFORMAT </w:instrText>
        </w:r>
        <w:r>
          <w:fldChar w:fldCharType="separate"/>
        </w:r>
        <w:r w:rsidR="005814EB">
          <w:rPr>
            <w:noProof/>
          </w:rPr>
          <w:t>1</w:t>
        </w:r>
        <w:r>
          <w:rPr>
            <w:noProof/>
          </w:rPr>
          <w:fldChar w:fldCharType="end"/>
        </w:r>
      </w:p>
    </w:sdtContent>
  </w:sdt>
  <w:p w:rsidR="006C2B5C" w:rsidRDefault="005814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4EB" w:rsidRDefault="005814EB">
      <w:r>
        <w:separator/>
      </w:r>
    </w:p>
  </w:footnote>
  <w:footnote w:type="continuationSeparator" w:id="0">
    <w:p w:rsidR="005814EB" w:rsidRDefault="005814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LW0MDExNjM2Njc0NbFQ0lEKTi0uzszPAymwqAUAAjnmuCwAAAA="/>
  </w:docVars>
  <w:rsids>
    <w:rsidRoot w:val="005C4707"/>
    <w:rsid w:val="00007B7E"/>
    <w:rsid w:val="00031CB7"/>
    <w:rsid w:val="00065DBA"/>
    <w:rsid w:val="00126756"/>
    <w:rsid w:val="00140103"/>
    <w:rsid w:val="00191C23"/>
    <w:rsid w:val="002232E6"/>
    <w:rsid w:val="00250E12"/>
    <w:rsid w:val="00270C88"/>
    <w:rsid w:val="002F32CA"/>
    <w:rsid w:val="002F66A5"/>
    <w:rsid w:val="00301DBA"/>
    <w:rsid w:val="00313E11"/>
    <w:rsid w:val="0031677F"/>
    <w:rsid w:val="00360F27"/>
    <w:rsid w:val="003C0B92"/>
    <w:rsid w:val="003E53DA"/>
    <w:rsid w:val="003F0FA6"/>
    <w:rsid w:val="003F135F"/>
    <w:rsid w:val="003F5B13"/>
    <w:rsid w:val="00407B6E"/>
    <w:rsid w:val="004209F8"/>
    <w:rsid w:val="00450041"/>
    <w:rsid w:val="00453BF0"/>
    <w:rsid w:val="005814EB"/>
    <w:rsid w:val="0058226B"/>
    <w:rsid w:val="005866A9"/>
    <w:rsid w:val="005878E7"/>
    <w:rsid w:val="005A2E05"/>
    <w:rsid w:val="005C2780"/>
    <w:rsid w:val="005C4707"/>
    <w:rsid w:val="005F33F1"/>
    <w:rsid w:val="005F7A9D"/>
    <w:rsid w:val="006C708D"/>
    <w:rsid w:val="006E4C3B"/>
    <w:rsid w:val="006F2B2E"/>
    <w:rsid w:val="00712641"/>
    <w:rsid w:val="007205D0"/>
    <w:rsid w:val="007354AE"/>
    <w:rsid w:val="00753FCC"/>
    <w:rsid w:val="00754766"/>
    <w:rsid w:val="00775EF9"/>
    <w:rsid w:val="007C0015"/>
    <w:rsid w:val="007E5CDD"/>
    <w:rsid w:val="00826015"/>
    <w:rsid w:val="00830DA0"/>
    <w:rsid w:val="00883E5E"/>
    <w:rsid w:val="0088749B"/>
    <w:rsid w:val="008F410C"/>
    <w:rsid w:val="0091081F"/>
    <w:rsid w:val="009D2AF0"/>
    <w:rsid w:val="009D3B5D"/>
    <w:rsid w:val="00A01B8F"/>
    <w:rsid w:val="00A57167"/>
    <w:rsid w:val="00AA71E4"/>
    <w:rsid w:val="00AE062C"/>
    <w:rsid w:val="00B21948"/>
    <w:rsid w:val="00B25109"/>
    <w:rsid w:val="00B343B1"/>
    <w:rsid w:val="00B71EA9"/>
    <w:rsid w:val="00B85185"/>
    <w:rsid w:val="00BB3EDD"/>
    <w:rsid w:val="00BE5DC2"/>
    <w:rsid w:val="00BF0D53"/>
    <w:rsid w:val="00C605E2"/>
    <w:rsid w:val="00CA33CE"/>
    <w:rsid w:val="00CD4CF3"/>
    <w:rsid w:val="00CE4B61"/>
    <w:rsid w:val="00D0300A"/>
    <w:rsid w:val="00D96E0B"/>
    <w:rsid w:val="00DA32C3"/>
    <w:rsid w:val="00DC09AD"/>
    <w:rsid w:val="00E01C79"/>
    <w:rsid w:val="00E061D0"/>
    <w:rsid w:val="00E300C8"/>
    <w:rsid w:val="00E363B4"/>
    <w:rsid w:val="00E56AEB"/>
    <w:rsid w:val="00E63254"/>
    <w:rsid w:val="00E71BEC"/>
    <w:rsid w:val="00E77046"/>
    <w:rsid w:val="00EA7EB0"/>
    <w:rsid w:val="00EB6BB2"/>
    <w:rsid w:val="00EC44EF"/>
    <w:rsid w:val="00FC3A8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DA32C3"/>
    <w:pPr>
      <w:ind w:left="720"/>
      <w:contextualSpacing/>
    </w:pPr>
    <w:rPr>
      <w:rFonts w:ascii="Calibri" w:eastAsia="SimSun" w:hAnsi="Calibri"/>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A32C3"/>
    <w:rPr>
      <w:rFonts w:ascii="Calibri" w:eastAsia="SimSun" w:hAnsi="Calibri" w:cs="Times New Roman"/>
      <w:sz w:val="24"/>
      <w:szCs w:val="24"/>
      <w:lang w:eastAsia="en-ZA"/>
    </w:rPr>
  </w:style>
  <w:style w:type="paragraph" w:styleId="PlainText">
    <w:name w:val="Plain Text"/>
    <w:basedOn w:val="Normal"/>
    <w:link w:val="PlainTextChar"/>
    <w:uiPriority w:val="99"/>
    <w:semiHidden/>
    <w:unhideWhenUsed/>
    <w:rsid w:val="00EC44E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EC44EF"/>
    <w:rPr>
      <w:rFonts w:ascii="Calibri" w:eastAsia="Calibri" w:hAnsi="Calibri" w:cs="Consolas"/>
      <w:szCs w:val="21"/>
    </w:rPr>
  </w:style>
  <w:style w:type="character" w:styleId="Hyperlink">
    <w:name w:val="Hyperlink"/>
    <w:basedOn w:val="DefaultParagraphFont"/>
    <w:uiPriority w:val="99"/>
    <w:unhideWhenUsed/>
    <w:rsid w:val="002F66A5"/>
    <w:rPr>
      <w:color w:val="0000FF"/>
      <w:u w:val="single"/>
    </w:rPr>
  </w:style>
  <w:style w:type="character" w:customStyle="1" w:styleId="UnresolvedMention">
    <w:name w:val="Unresolved Mention"/>
    <w:basedOn w:val="DefaultParagraphFont"/>
    <w:uiPriority w:val="99"/>
    <w:semiHidden/>
    <w:unhideWhenUsed/>
    <w:rsid w:val="002F66A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2330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easury.gov.za/legislation/pfma/guidelines/Guideline%20on%20Unathorised%20Expenditure%2027%20May%202014.pdf" TargetMode="External"/><Relationship Id="rId5" Type="http://schemas.openxmlformats.org/officeDocument/2006/relationships/settings" Target="settings.xml"/><Relationship Id="rId10" Type="http://schemas.openxmlformats.org/officeDocument/2006/relationships/hyperlink" Target="http://www.treasury.gov.za/legislation/pfma/TreasuryInstruction/Annexure%20A%20Fruitless%20and%20Wasteful%20Framework.pdf" TargetMode="External"/><Relationship Id="rId4" Type="http://schemas.openxmlformats.org/officeDocument/2006/relationships/styles" Target="styles.xml"/><Relationship Id="rId9" Type="http://schemas.openxmlformats.org/officeDocument/2006/relationships/hyperlink" Target="http://www.treasury.gov.za/legislation/pfma/TreasuryInstruction/Annexure%20A%20Irregular%20Expenditure%20Framework%20201920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8FFC00AA84044D9133115AB46DEBFA" ma:contentTypeVersion="10" ma:contentTypeDescription="Create a new document." ma:contentTypeScope="" ma:versionID="99cbac96a35ea905730a3bc245ab26f1">
  <xsd:schema xmlns:xsd="http://www.w3.org/2001/XMLSchema" xmlns:xs="http://www.w3.org/2001/XMLSchema" xmlns:p="http://schemas.microsoft.com/office/2006/metadata/properties" xmlns:ns3="f083da49-451a-4629-8875-846b923e2ce9" xmlns:ns4="45987a19-0b2c-4d42-ad64-d9749832b1e7" targetNamespace="http://schemas.microsoft.com/office/2006/metadata/properties" ma:root="true" ma:fieldsID="d5b9cb964635853a7d09cf9ac64b4267" ns3:_="" ns4:_="">
    <xsd:import namespace="f083da49-451a-4629-8875-846b923e2ce9"/>
    <xsd:import namespace="45987a19-0b2c-4d42-ad64-d9749832b1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3da49-451a-4629-8875-846b923e2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87a19-0b2c-4d42-ad64-d9749832b1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B71E08-74D0-413D-A27F-79059354D8A8}">
  <ds:schemaRefs>
    <ds:schemaRef ds:uri="http://schemas.microsoft.com/sharepoint/v3/contenttype/forms"/>
  </ds:schemaRefs>
</ds:datastoreItem>
</file>

<file path=customXml/itemProps2.xml><?xml version="1.0" encoding="utf-8"?>
<ds:datastoreItem xmlns:ds="http://schemas.openxmlformats.org/officeDocument/2006/customXml" ds:itemID="{A6990CE5-24E9-415F-8ED6-BCCA813E9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3da49-451a-4629-8875-846b923e2ce9"/>
    <ds:schemaRef ds:uri="45987a19-0b2c-4d42-ad64-d9749832b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69AD23-65E7-4946-BC16-BAC93ED681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cp:lastPrinted>2022-11-23T10:46:00Z</cp:lastPrinted>
  <dcterms:created xsi:type="dcterms:W3CDTF">2022-12-09T07:59:00Z</dcterms:created>
  <dcterms:modified xsi:type="dcterms:W3CDTF">2022-12-09T07:59:00Z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y fmtid="{D5CDD505-2E9C-101B-9397-08002B2CF9AE}" pid="9" name="GrammarlyDocumentId">
    <vt:lpwstr>e494dbba1cb94fb9df95fc53c15091d00848f45857ecd03f04563f0d84246b51</vt:lpwstr>
  </property>
  <property fmtid="{D5CDD505-2E9C-101B-9397-08002B2CF9AE}" pid="10" name="ContentTypeId">
    <vt:lpwstr>0x010100C08FFC00AA84044D9133115AB46DEBFA</vt:lpwstr>
  </property>
</Properties>
</file>