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6C" w:rsidRDefault="009C136C" w:rsidP="00130BDB">
      <w:pPr>
        <w:spacing w:after="200" w:line="276" w:lineRule="auto"/>
        <w:jc w:val="center"/>
        <w:rPr>
          <w:rFonts w:ascii="Arial" w:eastAsia="Calibri" w:hAnsi="Arial" w:cs="Arial"/>
          <w:b/>
          <w:bCs/>
          <w:lang w:val="en-ZA"/>
        </w:rPr>
      </w:pPr>
      <w:bookmarkStart w:id="0" w:name="_GoBack"/>
      <w:bookmarkEnd w:id="0"/>
    </w:p>
    <w:p w:rsidR="009C136C" w:rsidRDefault="009C136C" w:rsidP="009C136C">
      <w:pPr>
        <w:jc w:val="center"/>
        <w:rPr>
          <w:rFonts w:ascii="Arial" w:hAnsi="Arial" w:cs="Arial"/>
          <w:b/>
          <w:lang w:val="en-ZA"/>
        </w:rPr>
      </w:pPr>
    </w:p>
    <w:p w:rsidR="009C136C" w:rsidRDefault="004322AE" w:rsidP="009C136C">
      <w:pPr>
        <w:jc w:val="center"/>
        <w:rPr>
          <w:rFonts w:ascii="Arial" w:hAnsi="Arial" w:cs="Arial"/>
          <w:b/>
          <w:lang w:val="en-ZA"/>
        </w:rPr>
      </w:pPr>
      <w:r>
        <w:rPr>
          <w:rFonts w:cs="Arial"/>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9C136C" w:rsidRDefault="009C136C" w:rsidP="009C136C">
      <w:pPr>
        <w:rPr>
          <w:rFonts w:ascii="Arial" w:hAnsi="Arial" w:cs="Arial"/>
          <w:b/>
          <w:lang w:val="en-ZA"/>
        </w:rPr>
      </w:pPr>
    </w:p>
    <w:p w:rsidR="009C136C" w:rsidRPr="00A100D0" w:rsidRDefault="009C136C" w:rsidP="009C136C">
      <w:pPr>
        <w:jc w:val="center"/>
        <w:rPr>
          <w:rFonts w:ascii="Arial" w:hAnsi="Arial" w:cs="Arial"/>
          <w:b/>
          <w:lang w:val="en-ZA"/>
        </w:rPr>
      </w:pPr>
      <w:r w:rsidRPr="00A100D0">
        <w:rPr>
          <w:rFonts w:ascii="Arial" w:hAnsi="Arial" w:cs="Arial"/>
          <w:b/>
          <w:lang w:val="en-ZA"/>
        </w:rPr>
        <w:t xml:space="preserve">MINISTRY  </w:t>
      </w:r>
    </w:p>
    <w:p w:rsidR="009C136C" w:rsidRPr="00A100D0" w:rsidRDefault="009C136C" w:rsidP="009C136C">
      <w:pPr>
        <w:jc w:val="center"/>
        <w:rPr>
          <w:rFonts w:ascii="Arial" w:hAnsi="Arial" w:cs="Arial"/>
          <w:b/>
          <w:lang w:val="en-ZA"/>
        </w:rPr>
      </w:pPr>
      <w:r w:rsidRPr="00A100D0">
        <w:rPr>
          <w:rFonts w:ascii="Arial" w:hAnsi="Arial" w:cs="Arial"/>
          <w:b/>
          <w:lang w:val="en-ZA"/>
        </w:rPr>
        <w:t>JUSTICE AND CORRECTIONAL SERVICES</w:t>
      </w:r>
    </w:p>
    <w:p w:rsidR="009C136C" w:rsidRPr="00A100D0" w:rsidRDefault="009C136C" w:rsidP="009C136C">
      <w:pPr>
        <w:jc w:val="center"/>
        <w:outlineLvl w:val="0"/>
        <w:rPr>
          <w:rFonts w:ascii="Arial" w:eastAsia="Arial Unicode MS" w:hAnsi="Arial" w:cs="Arial"/>
          <w:b/>
          <w:color w:val="000000"/>
          <w:lang w:val="en-ZA" w:eastAsia="en-ZA"/>
        </w:rPr>
      </w:pPr>
      <w:r w:rsidRPr="00A100D0">
        <w:rPr>
          <w:rFonts w:ascii="Arial" w:eastAsia="Arial Unicode MS" w:hAnsi="Arial" w:cs="Arial"/>
          <w:b/>
          <w:color w:val="000000"/>
          <w:lang w:val="en-ZA" w:eastAsia="en-ZA"/>
        </w:rPr>
        <w:t>REPUBLIC OF SOUTH AFRICA</w:t>
      </w:r>
    </w:p>
    <w:p w:rsidR="009C136C" w:rsidRDefault="009C136C" w:rsidP="009C136C">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9C136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9C136C" w:rsidP="009C136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9C136C" w:rsidP="009C136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C77559">
        <w:rPr>
          <w:rFonts w:ascii="Arial" w:eastAsia="Calibri" w:hAnsi="Arial" w:cs="Arial"/>
          <w:b/>
          <w:bCs/>
          <w:lang w:val="en-GB"/>
        </w:rPr>
        <w:t>3</w:t>
      </w:r>
      <w:r w:rsidR="00DB3E1B">
        <w:rPr>
          <w:rFonts w:ascii="Arial" w:eastAsia="Calibri" w:hAnsi="Arial" w:cs="Arial"/>
          <w:b/>
          <w:bCs/>
          <w:lang w:val="en-GB"/>
        </w:rPr>
        <w:t>97</w:t>
      </w:r>
    </w:p>
    <w:p w:rsidR="00130BDB" w:rsidRPr="00232C3B" w:rsidRDefault="00130BDB" w:rsidP="009C136C">
      <w:pPr>
        <w:spacing w:after="200" w:line="276" w:lineRule="auto"/>
        <w:rPr>
          <w:rFonts w:ascii="Arial" w:eastAsia="Calibri" w:hAnsi="Arial" w:cs="Arial"/>
          <w:b/>
          <w:bCs/>
          <w:lang w:val="en-GB"/>
        </w:rPr>
      </w:pPr>
      <w:r w:rsidRPr="00232C3B">
        <w:rPr>
          <w:rFonts w:ascii="Arial" w:eastAsia="Calibri" w:hAnsi="Arial" w:cs="Arial"/>
          <w:b/>
          <w:bCs/>
          <w:lang w:val="en-GB"/>
        </w:rPr>
        <w:t xml:space="preserve">DATE OF QUESTION: </w:t>
      </w:r>
      <w:r w:rsidR="00C77559" w:rsidRPr="00232C3B">
        <w:rPr>
          <w:rFonts w:ascii="Arial" w:eastAsia="Calibri" w:hAnsi="Arial" w:cs="Arial"/>
          <w:b/>
          <w:bCs/>
          <w:lang w:val="en-GB"/>
        </w:rPr>
        <w:t>24</w:t>
      </w:r>
      <w:r w:rsidR="009C136C" w:rsidRPr="00232C3B">
        <w:rPr>
          <w:rFonts w:ascii="Arial" w:eastAsia="Calibri" w:hAnsi="Arial" w:cs="Arial"/>
          <w:b/>
          <w:bCs/>
          <w:lang w:val="en-GB"/>
        </w:rPr>
        <w:t xml:space="preserve"> FE</w:t>
      </w:r>
      <w:r w:rsidR="00232C3B" w:rsidRPr="00232C3B">
        <w:rPr>
          <w:rFonts w:ascii="Arial" w:eastAsia="Calibri" w:hAnsi="Arial" w:cs="Arial"/>
          <w:b/>
          <w:bCs/>
          <w:lang w:val="en-GB"/>
        </w:rPr>
        <w:t xml:space="preserve">BRUARY </w:t>
      </w:r>
      <w:r w:rsidRPr="00232C3B">
        <w:rPr>
          <w:rFonts w:ascii="Arial" w:eastAsia="Calibri" w:hAnsi="Arial" w:cs="Arial"/>
          <w:b/>
          <w:bCs/>
          <w:lang w:val="en-GB"/>
        </w:rPr>
        <w:t>20</w:t>
      </w:r>
      <w:r w:rsidR="003F2E8D" w:rsidRPr="00232C3B">
        <w:rPr>
          <w:rFonts w:ascii="Arial" w:eastAsia="Calibri" w:hAnsi="Arial" w:cs="Arial"/>
          <w:b/>
          <w:bCs/>
          <w:lang w:val="en-GB"/>
        </w:rPr>
        <w:t>2</w:t>
      </w:r>
      <w:r w:rsidR="0089351C" w:rsidRPr="00232C3B">
        <w:rPr>
          <w:rFonts w:ascii="Arial" w:eastAsia="Calibri" w:hAnsi="Arial" w:cs="Arial"/>
          <w:b/>
          <w:bCs/>
          <w:lang w:val="en-GB"/>
        </w:rPr>
        <w:t>3</w:t>
      </w:r>
    </w:p>
    <w:p w:rsidR="00232C3B" w:rsidRPr="00232C3B" w:rsidRDefault="00232C3B" w:rsidP="009C136C">
      <w:pPr>
        <w:spacing w:after="200" w:line="276" w:lineRule="auto"/>
        <w:rPr>
          <w:rFonts w:ascii="Arial" w:eastAsia="Calibri" w:hAnsi="Arial" w:cs="Arial"/>
          <w:b/>
          <w:bCs/>
          <w:lang w:val="en-GB"/>
        </w:rPr>
      </w:pPr>
      <w:r w:rsidRPr="00232C3B">
        <w:rPr>
          <w:rFonts w:ascii="Arial" w:eastAsia="Calibri" w:hAnsi="Arial" w:cs="Arial"/>
          <w:b/>
          <w:bCs/>
          <w:lang w:val="en-GB"/>
        </w:rPr>
        <w:t>DATE OF SUBMISSION: 10 MARCH 2023</w:t>
      </w:r>
    </w:p>
    <w:p w:rsidR="00DB3E1B" w:rsidRPr="00DB3E1B" w:rsidRDefault="00DB3E1B" w:rsidP="00DB3E1B">
      <w:pPr>
        <w:spacing w:before="120" w:after="120" w:line="360" w:lineRule="auto"/>
        <w:jc w:val="both"/>
        <w:rPr>
          <w:rFonts w:ascii="Arial" w:hAnsi="Arial" w:cs="Arial"/>
          <w:b/>
          <w:lang w:val="en-ZA"/>
        </w:rPr>
      </w:pPr>
      <w:r w:rsidRPr="00DB3E1B">
        <w:rPr>
          <w:rFonts w:ascii="Arial" w:hAnsi="Arial" w:cs="Arial"/>
          <w:b/>
          <w:lang w:val="en-ZA"/>
        </w:rPr>
        <w:t>Adv G Breytenbach (DA) to ask the Minister of Justice and Correctional Services</w:t>
      </w:r>
      <w:r w:rsidR="00DA6AD0" w:rsidRPr="00DB3E1B">
        <w:rPr>
          <w:rFonts w:ascii="Arial" w:hAnsi="Arial" w:cs="Arial"/>
          <w:b/>
          <w:lang w:val="en-ZA"/>
        </w:rPr>
        <w:fldChar w:fldCharType="begin"/>
      </w:r>
      <w:r w:rsidRPr="00DB3E1B">
        <w:rPr>
          <w:rFonts w:ascii="Arial" w:hAnsi="Arial" w:cs="Arial"/>
          <w:b/>
          <w:lang w:val="en-ZA"/>
        </w:rPr>
        <w:instrText xml:space="preserve"> XE "Minister of Justice and Correctional Services" </w:instrText>
      </w:r>
      <w:r w:rsidR="00DA6AD0" w:rsidRPr="00DB3E1B">
        <w:rPr>
          <w:rFonts w:ascii="Arial" w:hAnsi="Arial" w:cs="Arial"/>
          <w:b/>
          <w:lang w:val="en-ZA"/>
        </w:rPr>
        <w:fldChar w:fldCharType="end"/>
      </w:r>
      <w:r w:rsidRPr="00DB3E1B">
        <w:rPr>
          <w:rFonts w:ascii="Arial" w:hAnsi="Arial" w:cs="Arial"/>
          <w:b/>
          <w:lang w:val="en-ZA"/>
        </w:rPr>
        <w:t>:[</w:t>
      </w:r>
      <w:r w:rsidRPr="00DB3E1B">
        <w:rPr>
          <w:rFonts w:ascii="Arial" w:hAnsi="Arial" w:cs="Arial"/>
          <w:b/>
          <w:lang w:val="en-ZA"/>
        </w:rPr>
        <w:sym w:font="Wingdings 2" w:char="F0EA"/>
      </w:r>
      <w:r w:rsidRPr="00DB3E1B">
        <w:rPr>
          <w:rFonts w:ascii="Arial" w:hAnsi="Arial" w:cs="Arial"/>
          <w:b/>
          <w:lang w:val="en-ZA"/>
        </w:rPr>
        <w:t>46] [Question submitted for oral reply now placed for written reply because it is in excess of quota (Rule 137(8))]:</w:t>
      </w:r>
    </w:p>
    <w:p w:rsidR="00DB3E1B" w:rsidRDefault="00DB3E1B" w:rsidP="00DB3E1B">
      <w:pPr>
        <w:spacing w:before="120" w:after="120" w:line="360" w:lineRule="auto"/>
        <w:jc w:val="both"/>
        <w:rPr>
          <w:rFonts w:ascii="Arial" w:hAnsi="Arial" w:cs="Arial"/>
          <w:lang w:val="en-ZA"/>
        </w:rPr>
      </w:pPr>
      <w:r w:rsidRPr="00DB3E1B">
        <w:rPr>
          <w:rFonts w:ascii="Arial" w:hAnsi="Arial" w:cs="Arial"/>
          <w:lang w:val="en-ZA"/>
        </w:rPr>
        <w:t>With reference to the criteria for successful corruption busting institutions as set out in the Glenister Judgments of the Constitutional Court, on what grounds is the Government relying to persist with its proposal to establish a permanent investigative directorate within the National Prosecuting Authority instead of a separate, completely independent institution, which would meet the Constitutional Court’s requirements for total independence?</w:t>
      </w:r>
    </w:p>
    <w:p w:rsidR="00DB3E1B" w:rsidRPr="00DB3E1B" w:rsidRDefault="00DB3E1B" w:rsidP="00DB3E1B">
      <w:pPr>
        <w:spacing w:before="120" w:after="120" w:line="360" w:lineRule="auto"/>
        <w:ind w:left="360"/>
        <w:jc w:val="right"/>
        <w:rPr>
          <w:rFonts w:ascii="Arial" w:hAnsi="Arial" w:cs="Arial"/>
          <w:b/>
          <w:lang w:val="en-ZA"/>
        </w:rPr>
      </w:pPr>
      <w:r w:rsidRPr="00DB3E1B">
        <w:rPr>
          <w:rFonts w:ascii="Arial" w:hAnsi="Arial" w:cs="Arial"/>
          <w:b/>
          <w:lang w:val="en-ZA"/>
        </w:rPr>
        <w:t>NW428E</w:t>
      </w:r>
    </w:p>
    <w:p w:rsidR="00983C6B" w:rsidRDefault="00983C6B" w:rsidP="00D95A0A">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D95A0A" w:rsidRPr="000D5A5B" w:rsidRDefault="00D95A0A" w:rsidP="00D95A0A">
      <w:pPr>
        <w:spacing w:line="360" w:lineRule="auto"/>
        <w:rPr>
          <w:rFonts w:ascii="Arial" w:hAnsi="Arial" w:cs="Arial"/>
          <w:b/>
          <w:bCs/>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 xml:space="preserve">The Glenister Judgment must not be interpreted to mean that the National Prosecuting Authority </w:t>
      </w:r>
      <w:r>
        <w:rPr>
          <w:rFonts w:ascii="Arial" w:hAnsi="Arial" w:cs="Arial"/>
          <w:lang w:val="en-ZA"/>
        </w:rPr>
        <w:t xml:space="preserve">(NPA) </w:t>
      </w:r>
      <w:r w:rsidRPr="00D95A0A">
        <w:rPr>
          <w:rFonts w:ascii="Arial" w:hAnsi="Arial" w:cs="Arial"/>
          <w:lang w:val="en-ZA"/>
        </w:rPr>
        <w:t>in its current form falls outside of the realm of independence.</w:t>
      </w:r>
    </w:p>
    <w:p w:rsidR="00D95A0A" w:rsidRPr="00D95A0A" w:rsidRDefault="00D95A0A" w:rsidP="00D95A0A">
      <w:pPr>
        <w:spacing w:line="360" w:lineRule="auto"/>
        <w:jc w:val="both"/>
        <w:rPr>
          <w:rFonts w:ascii="Arial" w:hAnsi="Arial" w:cs="Arial"/>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As the Honourable Member is aware</w:t>
      </w:r>
      <w:r w:rsidR="008868B8">
        <w:rPr>
          <w:rFonts w:ascii="Arial" w:hAnsi="Arial" w:cs="Arial"/>
          <w:lang w:val="en-ZA"/>
        </w:rPr>
        <w:t>,</w:t>
      </w:r>
      <w:r w:rsidRPr="00D95A0A">
        <w:rPr>
          <w:rFonts w:ascii="Arial" w:hAnsi="Arial" w:cs="Arial"/>
          <w:lang w:val="en-ZA"/>
        </w:rPr>
        <w:t xml:space="preserve"> the NPA is governed by both the Constitution and the National Prosecuting Authority Act (NPA Act).</w:t>
      </w:r>
    </w:p>
    <w:p w:rsidR="00D95A0A" w:rsidRPr="00D95A0A" w:rsidRDefault="00D95A0A" w:rsidP="00D95A0A">
      <w:pPr>
        <w:spacing w:line="360" w:lineRule="auto"/>
        <w:jc w:val="both"/>
        <w:rPr>
          <w:rFonts w:ascii="Arial" w:hAnsi="Arial" w:cs="Arial"/>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 xml:space="preserve">Section 108 of the Constitution provides for the establishment of an NPA under the direction of a National Director of Public Prosecutions (NDPP). </w:t>
      </w:r>
    </w:p>
    <w:p w:rsidR="00D95A0A" w:rsidRPr="00D95A0A" w:rsidRDefault="00D95A0A" w:rsidP="00D95A0A">
      <w:pPr>
        <w:spacing w:line="360" w:lineRule="auto"/>
        <w:jc w:val="both"/>
        <w:rPr>
          <w:rFonts w:ascii="Arial" w:hAnsi="Arial" w:cs="Arial"/>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 xml:space="preserve">The constitutional tenets governing the prosecution system are implemented through the NPA Act, which provides the power to institute and conduct criminal prosecutions on behalf of the </w:t>
      </w:r>
      <w:r>
        <w:rPr>
          <w:rFonts w:ascii="Arial" w:hAnsi="Arial" w:cs="Arial"/>
          <w:lang w:val="en-ZA"/>
        </w:rPr>
        <w:t>S</w:t>
      </w:r>
      <w:r w:rsidR="008868B8">
        <w:rPr>
          <w:rFonts w:ascii="Arial" w:hAnsi="Arial" w:cs="Arial"/>
          <w:lang w:val="en-ZA"/>
        </w:rPr>
        <w:t>tate,</w:t>
      </w:r>
      <w:r w:rsidRPr="00D95A0A">
        <w:rPr>
          <w:rFonts w:ascii="Arial" w:hAnsi="Arial" w:cs="Arial"/>
          <w:lang w:val="en-ZA"/>
        </w:rPr>
        <w:t xml:space="preserve"> ‘vests in the prosecuting authority.</w:t>
      </w:r>
    </w:p>
    <w:p w:rsidR="00D95A0A" w:rsidRPr="00D95A0A" w:rsidRDefault="00D95A0A" w:rsidP="00D95A0A">
      <w:pPr>
        <w:spacing w:line="360" w:lineRule="auto"/>
        <w:jc w:val="both"/>
        <w:rPr>
          <w:rFonts w:ascii="Arial" w:hAnsi="Arial" w:cs="Arial"/>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 xml:space="preserve">The Constitution and the NPA Act guarantee the independence of the NPA in regard to its performance of the prosecutorial function. Both the Constitution and NPA Act </w:t>
      </w:r>
      <w:r w:rsidR="008868B8" w:rsidRPr="00D95A0A">
        <w:rPr>
          <w:rFonts w:ascii="Arial" w:hAnsi="Arial" w:cs="Arial"/>
          <w:lang w:val="en-ZA"/>
        </w:rPr>
        <w:t xml:space="preserve">also </w:t>
      </w:r>
      <w:r w:rsidRPr="00D95A0A">
        <w:rPr>
          <w:rFonts w:ascii="Arial" w:hAnsi="Arial" w:cs="Arial"/>
          <w:lang w:val="en-ZA"/>
        </w:rPr>
        <w:t>require that the NPA do its work ‘without fear, favour and prejudice’ and subject only to</w:t>
      </w:r>
      <w:r>
        <w:rPr>
          <w:rFonts w:ascii="Arial" w:hAnsi="Arial" w:cs="Arial"/>
          <w:lang w:val="en-ZA"/>
        </w:rPr>
        <w:t xml:space="preserve"> the Constitution and the law. </w:t>
      </w:r>
      <w:r w:rsidRPr="00D95A0A">
        <w:rPr>
          <w:rFonts w:ascii="Arial" w:hAnsi="Arial" w:cs="Arial"/>
          <w:lang w:val="en-ZA"/>
        </w:rPr>
        <w:t>This obligation was confirmed by the Constitutional Court in the certification of the Constitution in 1996.</w:t>
      </w:r>
    </w:p>
    <w:p w:rsidR="00D95A0A" w:rsidRPr="00D95A0A" w:rsidRDefault="00D95A0A" w:rsidP="00D95A0A">
      <w:pPr>
        <w:spacing w:line="360" w:lineRule="auto"/>
        <w:jc w:val="both"/>
        <w:rPr>
          <w:rFonts w:ascii="Arial" w:hAnsi="Arial" w:cs="Arial"/>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There is objective evidence that STIRS criteria is being implemented.</w:t>
      </w:r>
    </w:p>
    <w:p w:rsidR="00D95A0A" w:rsidRPr="00D95A0A" w:rsidRDefault="00D95A0A" w:rsidP="00D95A0A">
      <w:pPr>
        <w:spacing w:line="360" w:lineRule="auto"/>
        <w:jc w:val="both"/>
        <w:rPr>
          <w:rFonts w:ascii="Arial" w:hAnsi="Arial" w:cs="Arial"/>
          <w:lang w:val="en-ZA"/>
        </w:rPr>
      </w:pPr>
    </w:p>
    <w:p w:rsidR="00D95A0A" w:rsidRPr="00D95A0A" w:rsidRDefault="00D95A0A" w:rsidP="00D95A0A">
      <w:pPr>
        <w:spacing w:line="360" w:lineRule="auto"/>
        <w:jc w:val="both"/>
        <w:rPr>
          <w:rFonts w:ascii="Arial" w:hAnsi="Arial" w:cs="Arial"/>
          <w:lang w:val="en-ZA"/>
        </w:rPr>
      </w:pPr>
      <w:r w:rsidRPr="00D95A0A">
        <w:rPr>
          <w:rFonts w:ascii="Arial" w:hAnsi="Arial" w:cs="Arial"/>
          <w:lang w:val="en-ZA"/>
        </w:rPr>
        <w:t>Thus government has ensured that th</w:t>
      </w:r>
      <w:r>
        <w:rPr>
          <w:rFonts w:ascii="Arial" w:hAnsi="Arial" w:cs="Arial"/>
          <w:lang w:val="en-ZA"/>
        </w:rPr>
        <w:t>e In</w:t>
      </w:r>
      <w:r w:rsidR="008868B8">
        <w:rPr>
          <w:rFonts w:ascii="Arial" w:hAnsi="Arial" w:cs="Arial"/>
          <w:lang w:val="en-ZA"/>
        </w:rPr>
        <w:t>vestigative</w:t>
      </w:r>
      <w:r>
        <w:rPr>
          <w:rFonts w:ascii="Arial" w:hAnsi="Arial" w:cs="Arial"/>
          <w:lang w:val="en-ZA"/>
        </w:rPr>
        <w:t xml:space="preserve"> Directorate (ID) has</w:t>
      </w:r>
      <w:r w:rsidRPr="00D95A0A">
        <w:rPr>
          <w:rFonts w:ascii="Arial" w:hAnsi="Arial" w:cs="Arial"/>
          <w:lang w:val="en-ZA"/>
        </w:rPr>
        <w:t>:</w:t>
      </w:r>
    </w:p>
    <w:p w:rsidR="00D95A0A" w:rsidRPr="00D95A0A" w:rsidRDefault="00D95A0A" w:rsidP="00D95A0A">
      <w:pPr>
        <w:numPr>
          <w:ilvl w:val="0"/>
          <w:numId w:val="46"/>
        </w:numPr>
        <w:spacing w:line="360" w:lineRule="auto"/>
        <w:jc w:val="both"/>
        <w:rPr>
          <w:rFonts w:ascii="Arial" w:hAnsi="Arial" w:cs="Arial"/>
          <w:lang w:val="en-ZA"/>
        </w:rPr>
      </w:pPr>
      <w:r>
        <w:rPr>
          <w:rFonts w:ascii="Arial" w:hAnsi="Arial" w:cs="Arial"/>
          <w:lang w:val="en-ZA"/>
        </w:rPr>
        <w:t>Specialised skills;</w:t>
      </w:r>
    </w:p>
    <w:p w:rsidR="00D95A0A" w:rsidRPr="00D95A0A" w:rsidRDefault="00D95A0A" w:rsidP="00D95A0A">
      <w:pPr>
        <w:numPr>
          <w:ilvl w:val="0"/>
          <w:numId w:val="46"/>
        </w:numPr>
        <w:spacing w:line="360" w:lineRule="auto"/>
        <w:jc w:val="both"/>
        <w:rPr>
          <w:rFonts w:ascii="Arial" w:hAnsi="Arial" w:cs="Arial"/>
          <w:lang w:val="en-ZA"/>
        </w:rPr>
      </w:pPr>
      <w:r>
        <w:rPr>
          <w:rFonts w:ascii="Arial" w:hAnsi="Arial" w:cs="Arial"/>
          <w:lang w:val="en-ZA"/>
        </w:rPr>
        <w:t>Highly Trained personnel;</w:t>
      </w:r>
    </w:p>
    <w:p w:rsidR="00D95A0A" w:rsidRPr="00D95A0A" w:rsidRDefault="00D95A0A" w:rsidP="00D95A0A">
      <w:pPr>
        <w:numPr>
          <w:ilvl w:val="0"/>
          <w:numId w:val="46"/>
        </w:numPr>
        <w:spacing w:line="360" w:lineRule="auto"/>
        <w:jc w:val="both"/>
        <w:rPr>
          <w:rFonts w:ascii="Arial" w:hAnsi="Arial" w:cs="Arial"/>
          <w:lang w:val="en-ZA"/>
        </w:rPr>
      </w:pPr>
      <w:r w:rsidRPr="00D95A0A">
        <w:rPr>
          <w:rFonts w:ascii="Arial" w:hAnsi="Arial" w:cs="Arial"/>
          <w:lang w:val="en-ZA"/>
        </w:rPr>
        <w:t xml:space="preserve">Independence - as per the tenants </w:t>
      </w:r>
      <w:r>
        <w:rPr>
          <w:rFonts w:ascii="Arial" w:hAnsi="Arial" w:cs="Arial"/>
          <w:lang w:val="en-ZA"/>
        </w:rPr>
        <w:t>of the Constitution and the NPA;</w:t>
      </w:r>
      <w:r w:rsidRPr="00D95A0A">
        <w:rPr>
          <w:rFonts w:ascii="Arial" w:hAnsi="Arial" w:cs="Arial"/>
          <w:lang w:val="en-ZA"/>
        </w:rPr>
        <w:t xml:space="preserve"> </w:t>
      </w:r>
    </w:p>
    <w:p w:rsidR="00D95A0A" w:rsidRPr="00D95A0A" w:rsidRDefault="00D95A0A" w:rsidP="00D95A0A">
      <w:pPr>
        <w:numPr>
          <w:ilvl w:val="0"/>
          <w:numId w:val="46"/>
        </w:numPr>
        <w:spacing w:line="360" w:lineRule="auto"/>
        <w:jc w:val="both"/>
        <w:rPr>
          <w:rFonts w:ascii="Arial" w:hAnsi="Arial" w:cs="Arial"/>
          <w:lang w:val="en-ZA"/>
        </w:rPr>
      </w:pPr>
      <w:r w:rsidRPr="00D95A0A">
        <w:rPr>
          <w:rFonts w:ascii="Arial" w:hAnsi="Arial" w:cs="Arial"/>
          <w:lang w:val="en-ZA"/>
        </w:rPr>
        <w:t>Resourcing</w:t>
      </w:r>
      <w:r>
        <w:rPr>
          <w:rFonts w:ascii="Arial" w:hAnsi="Arial" w:cs="Arial"/>
          <w:lang w:val="en-ZA"/>
        </w:rPr>
        <w:t xml:space="preserve"> </w:t>
      </w:r>
      <w:r w:rsidRPr="00D95A0A">
        <w:rPr>
          <w:rFonts w:ascii="Arial" w:hAnsi="Arial" w:cs="Arial"/>
          <w:lang w:val="en-ZA"/>
        </w:rPr>
        <w:t>-</w:t>
      </w:r>
      <w:r>
        <w:rPr>
          <w:rFonts w:ascii="Arial" w:hAnsi="Arial" w:cs="Arial"/>
          <w:lang w:val="en-ZA"/>
        </w:rPr>
        <w:t xml:space="preserve"> the NP</w:t>
      </w:r>
      <w:r w:rsidRPr="00D95A0A">
        <w:rPr>
          <w:rFonts w:ascii="Arial" w:hAnsi="Arial" w:cs="Arial"/>
          <w:lang w:val="en-ZA"/>
        </w:rPr>
        <w:t>A receives R1.3 billion to support the implementation of the recommendations of the State Capture Commission</w:t>
      </w:r>
      <w:r>
        <w:rPr>
          <w:rFonts w:ascii="Arial" w:hAnsi="Arial" w:cs="Arial"/>
          <w:lang w:val="en-ZA"/>
        </w:rPr>
        <w:t>;</w:t>
      </w:r>
      <w:r w:rsidRPr="00D95A0A">
        <w:rPr>
          <w:rFonts w:ascii="Arial" w:hAnsi="Arial" w:cs="Arial"/>
          <w:lang w:val="en-ZA"/>
        </w:rPr>
        <w:t xml:space="preserve"> and </w:t>
      </w:r>
    </w:p>
    <w:p w:rsidR="00D95A0A" w:rsidRPr="00D95A0A" w:rsidRDefault="00D95A0A" w:rsidP="00D95A0A">
      <w:pPr>
        <w:numPr>
          <w:ilvl w:val="0"/>
          <w:numId w:val="46"/>
        </w:numPr>
        <w:spacing w:line="360" w:lineRule="auto"/>
        <w:jc w:val="both"/>
        <w:rPr>
          <w:rFonts w:ascii="Arial" w:hAnsi="Arial" w:cs="Arial"/>
          <w:lang w:val="en-ZA"/>
        </w:rPr>
      </w:pPr>
      <w:r>
        <w:rPr>
          <w:rFonts w:ascii="Arial" w:hAnsi="Arial" w:cs="Arial"/>
          <w:lang w:val="en-ZA"/>
        </w:rPr>
        <w:t>Security of Tenure.</w:t>
      </w:r>
      <w:r w:rsidRPr="00D95A0A">
        <w:rPr>
          <w:rFonts w:ascii="Arial" w:hAnsi="Arial" w:cs="Arial"/>
          <w:lang w:val="en-ZA"/>
        </w:rPr>
        <w:t xml:space="preserve"> </w:t>
      </w:r>
    </w:p>
    <w:p w:rsidR="00983C6B" w:rsidRPr="00D95A0A" w:rsidRDefault="00983C6B" w:rsidP="00D95A0A">
      <w:pPr>
        <w:spacing w:line="360" w:lineRule="auto"/>
        <w:jc w:val="both"/>
        <w:rPr>
          <w:rFonts w:ascii="Arial" w:hAnsi="Arial" w:cs="Arial"/>
          <w:lang w:val="en-ZA"/>
        </w:rPr>
      </w:pPr>
    </w:p>
    <w:sectPr w:rsidR="00983C6B" w:rsidRPr="00D95A0A"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C32" w:rsidRDefault="00657C32" w:rsidP="00913892">
      <w:r>
        <w:separator/>
      </w:r>
    </w:p>
  </w:endnote>
  <w:endnote w:type="continuationSeparator" w:id="0">
    <w:p w:rsidR="00657C32" w:rsidRDefault="00657C3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DA6AD0">
    <w:pPr>
      <w:pStyle w:val="Footer"/>
      <w:pBdr>
        <w:top w:val="single" w:sz="4" w:space="1" w:color="D9D9D9"/>
      </w:pBdr>
      <w:rPr>
        <w:b/>
        <w:bCs/>
      </w:rPr>
    </w:pPr>
    <w:r w:rsidRPr="00DA6AD0">
      <w:fldChar w:fldCharType="begin"/>
    </w:r>
    <w:r w:rsidR="0054211D">
      <w:instrText xml:space="preserve"> PAGE   \* MERGEFORMAT </w:instrText>
    </w:r>
    <w:r w:rsidRPr="00DA6AD0">
      <w:fldChar w:fldCharType="separate"/>
    </w:r>
    <w:r w:rsidR="00657C32" w:rsidRPr="00657C32">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C32" w:rsidRDefault="00657C32" w:rsidP="00913892">
      <w:r>
        <w:separator/>
      </w:r>
    </w:p>
  </w:footnote>
  <w:footnote w:type="continuationSeparator" w:id="0">
    <w:p w:rsidR="00657C32" w:rsidRDefault="00657C3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B6D0D4E"/>
    <w:multiLevelType w:val="hybridMultilevel"/>
    <w:tmpl w:val="85987714"/>
    <w:lvl w:ilvl="0" w:tplc="508683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4"/>
  </w:num>
  <w:num w:numId="6">
    <w:abstractNumId w:val="3"/>
  </w:num>
  <w:num w:numId="7">
    <w:abstractNumId w:val="44"/>
  </w:num>
  <w:num w:numId="8">
    <w:abstractNumId w:val="11"/>
  </w:num>
  <w:num w:numId="9">
    <w:abstractNumId w:val="19"/>
  </w:num>
  <w:num w:numId="10">
    <w:abstractNumId w:val="37"/>
  </w:num>
  <w:num w:numId="11">
    <w:abstractNumId w:val="2"/>
  </w:num>
  <w:num w:numId="12">
    <w:abstractNumId w:val="24"/>
  </w:num>
  <w:num w:numId="13">
    <w:abstractNumId w:val="16"/>
  </w:num>
  <w:num w:numId="14">
    <w:abstractNumId w:val="20"/>
  </w:num>
  <w:num w:numId="15">
    <w:abstractNumId w:val="10"/>
  </w:num>
  <w:num w:numId="16">
    <w:abstractNumId w:val="18"/>
  </w:num>
  <w:num w:numId="17">
    <w:abstractNumId w:val="42"/>
  </w:num>
  <w:num w:numId="18">
    <w:abstractNumId w:val="25"/>
  </w:num>
  <w:num w:numId="19">
    <w:abstractNumId w:val="22"/>
  </w:num>
  <w:num w:numId="20">
    <w:abstractNumId w:val="41"/>
  </w:num>
  <w:num w:numId="21">
    <w:abstractNumId w:val="31"/>
  </w:num>
  <w:num w:numId="22">
    <w:abstractNumId w:val="32"/>
  </w:num>
  <w:num w:numId="23">
    <w:abstractNumId w:val="9"/>
  </w:num>
  <w:num w:numId="24">
    <w:abstractNumId w:val="33"/>
  </w:num>
  <w:num w:numId="25">
    <w:abstractNumId w:val="5"/>
  </w:num>
  <w:num w:numId="26">
    <w:abstractNumId w:val="7"/>
  </w:num>
  <w:num w:numId="27">
    <w:abstractNumId w:val="29"/>
  </w:num>
  <w:num w:numId="28">
    <w:abstractNumId w:val="43"/>
  </w:num>
  <w:num w:numId="29">
    <w:abstractNumId w:val="6"/>
  </w:num>
  <w:num w:numId="30">
    <w:abstractNumId w:val="13"/>
  </w:num>
  <w:num w:numId="31">
    <w:abstractNumId w:val="1"/>
  </w:num>
  <w:num w:numId="32">
    <w:abstractNumId w:val="14"/>
  </w:num>
  <w:num w:numId="33">
    <w:abstractNumId w:val="21"/>
  </w:num>
  <w:num w:numId="34">
    <w:abstractNumId w:val="39"/>
  </w:num>
  <w:num w:numId="35">
    <w:abstractNumId w:val="45"/>
  </w:num>
  <w:num w:numId="36">
    <w:abstractNumId w:val="28"/>
  </w:num>
  <w:num w:numId="37">
    <w:abstractNumId w:val="17"/>
  </w:num>
  <w:num w:numId="38">
    <w:abstractNumId w:val="27"/>
  </w:num>
  <w:num w:numId="39">
    <w:abstractNumId w:val="8"/>
  </w:num>
  <w:num w:numId="40">
    <w:abstractNumId w:val="12"/>
  </w:num>
  <w:num w:numId="41">
    <w:abstractNumId w:val="30"/>
  </w:num>
  <w:num w:numId="42">
    <w:abstractNumId w:val="23"/>
  </w:num>
  <w:num w:numId="43">
    <w:abstractNumId w:val="36"/>
  </w:num>
  <w:num w:numId="44">
    <w:abstractNumId w:val="40"/>
  </w:num>
  <w:num w:numId="45">
    <w:abstractNumId w:val="35"/>
  </w:num>
  <w:num w:numId="46">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47832"/>
    <w:rsid w:val="00052CE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32C3B"/>
    <w:rsid w:val="00262AC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22AE"/>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53FE5"/>
    <w:rsid w:val="00657C32"/>
    <w:rsid w:val="00661BE2"/>
    <w:rsid w:val="00670788"/>
    <w:rsid w:val="0067545A"/>
    <w:rsid w:val="006959E4"/>
    <w:rsid w:val="00696341"/>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46897"/>
    <w:rsid w:val="00865132"/>
    <w:rsid w:val="008769EF"/>
    <w:rsid w:val="00881381"/>
    <w:rsid w:val="008868B8"/>
    <w:rsid w:val="00892846"/>
    <w:rsid w:val="0089351C"/>
    <w:rsid w:val="008A1398"/>
    <w:rsid w:val="008A1837"/>
    <w:rsid w:val="008B1BCF"/>
    <w:rsid w:val="008C1A56"/>
    <w:rsid w:val="008C2D7F"/>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C136C"/>
    <w:rsid w:val="009C6B30"/>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71EF3"/>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7332"/>
    <w:rsid w:val="00B8345D"/>
    <w:rsid w:val="00B958BA"/>
    <w:rsid w:val="00BA3361"/>
    <w:rsid w:val="00BA3A67"/>
    <w:rsid w:val="00BA61AF"/>
    <w:rsid w:val="00BB53A8"/>
    <w:rsid w:val="00BB7991"/>
    <w:rsid w:val="00BC1021"/>
    <w:rsid w:val="00BC7AFB"/>
    <w:rsid w:val="00BD597B"/>
    <w:rsid w:val="00BD6D36"/>
    <w:rsid w:val="00BE32B9"/>
    <w:rsid w:val="00BF0672"/>
    <w:rsid w:val="00BF0809"/>
    <w:rsid w:val="00BF369F"/>
    <w:rsid w:val="00BF738D"/>
    <w:rsid w:val="00C15423"/>
    <w:rsid w:val="00C31057"/>
    <w:rsid w:val="00C331B7"/>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F1B81"/>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95A0A"/>
    <w:rsid w:val="00DA495F"/>
    <w:rsid w:val="00DA6AD0"/>
    <w:rsid w:val="00DB11B2"/>
    <w:rsid w:val="00DB3E1B"/>
    <w:rsid w:val="00DC255C"/>
    <w:rsid w:val="00DC592F"/>
    <w:rsid w:val="00DC7CDA"/>
    <w:rsid w:val="00DE1284"/>
    <w:rsid w:val="00DF2638"/>
    <w:rsid w:val="00E1080E"/>
    <w:rsid w:val="00E17F42"/>
    <w:rsid w:val="00E21A66"/>
    <w:rsid w:val="00E238BE"/>
    <w:rsid w:val="00E30F9B"/>
    <w:rsid w:val="00E44AFC"/>
    <w:rsid w:val="00E55AFD"/>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7120"/>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2023-03-29T09:34:00Z</dcterms:created>
  <dcterms:modified xsi:type="dcterms:W3CDTF">2023-03-29T09:34:00Z</dcterms:modified>
</cp:coreProperties>
</file>