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B71E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209844"/>
      <w:r w:rsidRPr="00B71EA9">
        <w:rPr>
          <w:rFonts w:ascii="Arial" w:hAnsi="Arial" w:cs="Arial"/>
          <w:b/>
          <w:sz w:val="22"/>
          <w:szCs w:val="22"/>
        </w:rPr>
        <w:t>QUESTION NUMBER:</w:t>
      </w:r>
      <w:r w:rsidR="00313E11">
        <w:rPr>
          <w:rFonts w:ascii="Arial" w:hAnsi="Arial" w:cs="Arial"/>
          <w:b/>
          <w:sz w:val="22"/>
          <w:szCs w:val="22"/>
        </w:rPr>
        <w:t xml:space="preserve"> </w:t>
      </w:r>
      <w:r w:rsidR="00313E11" w:rsidRPr="00313E11">
        <w:rPr>
          <w:rFonts w:ascii="Arial" w:hAnsi="Arial" w:cs="Arial"/>
          <w:b/>
          <w:sz w:val="22"/>
          <w:szCs w:val="22"/>
        </w:rPr>
        <w:t>3967</w:t>
      </w:r>
      <w:bookmarkStart w:id="6" w:name="_Hlk34208942"/>
      <w:bookmarkStart w:id="7" w:name="_Hlk49113957"/>
      <w:r w:rsidR="00313E11">
        <w:rPr>
          <w:rFonts w:ascii="Arial" w:hAnsi="Arial" w:cs="Arial"/>
          <w:b/>
          <w:sz w:val="22"/>
          <w:szCs w:val="22"/>
        </w:rPr>
        <w:t xml:space="preserve"> </w:t>
      </w:r>
      <w:r w:rsidRPr="00B71EA9">
        <w:rPr>
          <w:rFonts w:ascii="Arial" w:hAnsi="Arial" w:cs="Arial"/>
          <w:b/>
          <w:sz w:val="22"/>
          <w:szCs w:val="22"/>
        </w:rPr>
        <w:t>[</w:t>
      </w:r>
      <w:r w:rsidR="00313E11" w:rsidRPr="00313E11">
        <w:rPr>
          <w:rFonts w:ascii="Arial" w:hAnsi="Arial" w:cs="Arial"/>
          <w:b/>
          <w:sz w:val="22"/>
          <w:szCs w:val="22"/>
        </w:rPr>
        <w:t>NW4935E</w:t>
      </w:r>
      <w:r w:rsidRPr="00B71EA9">
        <w:rPr>
          <w:rFonts w:ascii="Arial" w:hAnsi="Arial" w:cs="Arial"/>
          <w:b/>
          <w:sz w:val="22"/>
          <w:szCs w:val="22"/>
        </w:rPr>
        <w:t>]</w:t>
      </w:r>
      <w:bookmarkEnd w:id="6"/>
    </w:p>
    <w:p w:rsidR="005C4707" w:rsidRPr="00CE4B61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301DBA">
        <w:rPr>
          <w:rFonts w:ascii="Arial" w:hAnsi="Arial" w:cs="Arial"/>
          <w:b/>
          <w:sz w:val="22"/>
          <w:szCs w:val="22"/>
        </w:rPr>
        <w:t>28</w:t>
      </w:r>
      <w:r w:rsidR="00CE4B61">
        <w:rPr>
          <w:rFonts w:ascii="Arial" w:hAnsi="Arial" w:cs="Arial"/>
          <w:b/>
          <w:sz w:val="22"/>
          <w:szCs w:val="22"/>
        </w:rPr>
        <w:t xml:space="preserve"> </w:t>
      </w:r>
      <w:r w:rsidR="00B71EA9">
        <w:rPr>
          <w:rFonts w:ascii="Arial" w:hAnsi="Arial" w:cs="Arial"/>
          <w:b/>
          <w:sz w:val="22"/>
          <w:szCs w:val="22"/>
        </w:rPr>
        <w:t>OCTOBER</w:t>
      </w:r>
      <w:r w:rsidR="00CE4B61" w:rsidRPr="005866A9">
        <w:rPr>
          <w:rFonts w:ascii="Arial" w:hAnsi="Arial" w:cs="Arial"/>
          <w:b/>
          <w:sz w:val="22"/>
          <w:szCs w:val="22"/>
        </w:rPr>
        <w:t xml:space="preserve"> 2022</w:t>
      </w:r>
    </w:p>
    <w:bookmarkEnd w:id="5"/>
    <w:p w:rsidR="00313E11" w:rsidRPr="00313E11" w:rsidRDefault="00313E11" w:rsidP="00313E11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313E11">
        <w:rPr>
          <w:rFonts w:ascii="Arial" w:hAnsi="Arial" w:cs="Arial"/>
          <w:b/>
          <w:sz w:val="22"/>
          <w:szCs w:val="22"/>
          <w:lang w:val="en-GB"/>
        </w:rPr>
        <w:t>3967.</w:t>
      </w:r>
      <w:r w:rsidRPr="00313E11">
        <w:rPr>
          <w:rFonts w:ascii="Arial" w:hAnsi="Arial" w:cs="Arial"/>
          <w:b/>
          <w:sz w:val="22"/>
          <w:szCs w:val="22"/>
          <w:lang w:val="en-GB"/>
        </w:rPr>
        <w:tab/>
        <w:t>Dr D T George (DA) to ask the Minister of Finance</w:t>
      </w:r>
      <w:r w:rsidR="009B322D" w:rsidRPr="00313E11">
        <w:rPr>
          <w:rFonts w:ascii="Arial" w:hAnsi="Arial" w:cs="Arial"/>
          <w:b/>
          <w:sz w:val="22"/>
          <w:szCs w:val="22"/>
          <w:lang w:val="en-GB"/>
        </w:rPr>
        <w:fldChar w:fldCharType="begin"/>
      </w:r>
      <w:r w:rsidRPr="00313E11">
        <w:rPr>
          <w:rFonts w:ascii="Arial" w:hAnsi="Arial" w:cs="Arial"/>
          <w:sz w:val="22"/>
          <w:szCs w:val="22"/>
        </w:rPr>
        <w:instrText xml:space="preserve"> XE "</w:instrText>
      </w:r>
      <w:r w:rsidRPr="00313E11">
        <w:rPr>
          <w:rFonts w:ascii="Arial" w:hAnsi="Arial" w:cs="Arial"/>
          <w:b/>
          <w:sz w:val="22"/>
          <w:szCs w:val="22"/>
          <w:lang w:val="en-GB"/>
        </w:rPr>
        <w:instrText>Minister of Finance</w:instrText>
      </w:r>
      <w:r w:rsidRPr="00313E11">
        <w:rPr>
          <w:rFonts w:ascii="Arial" w:hAnsi="Arial" w:cs="Arial"/>
          <w:sz w:val="22"/>
          <w:szCs w:val="22"/>
        </w:rPr>
        <w:instrText xml:space="preserve">" </w:instrText>
      </w:r>
      <w:r w:rsidR="009B322D" w:rsidRPr="00313E11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13E11">
        <w:rPr>
          <w:rFonts w:ascii="Arial" w:hAnsi="Arial" w:cs="Arial"/>
          <w:b/>
          <w:sz w:val="22"/>
          <w:szCs w:val="22"/>
          <w:lang w:val="en-GB"/>
        </w:rPr>
        <w:t>:</w:t>
      </w:r>
    </w:p>
    <w:p w:rsidR="00313E11" w:rsidRPr="00C972A3" w:rsidRDefault="00313E11" w:rsidP="00313E11">
      <w:pPr>
        <w:spacing w:before="240" w:line="276" w:lineRule="auto"/>
        <w:ind w:left="709" w:right="305" w:firstLine="11"/>
        <w:jc w:val="both"/>
      </w:pPr>
      <w:r w:rsidRPr="00313E11">
        <w:rPr>
          <w:rFonts w:ascii="Arial" w:hAnsi="Arial" w:cs="Arial"/>
          <w:sz w:val="22"/>
          <w:szCs w:val="22"/>
        </w:rPr>
        <w:t xml:space="preserve">With reference to the reply of the President of the Republic, Mr M C Ramaphosa, to question 2985 on 6 October 2022, how does the established interdepartmental committee measure and/or determine whether or not the Republic has credible risk assessments in place to address </w:t>
      </w:r>
      <w:bookmarkStart w:id="8" w:name="_Hlk117831773"/>
      <w:r w:rsidRPr="00313E11">
        <w:rPr>
          <w:rFonts w:ascii="Arial" w:hAnsi="Arial" w:cs="Arial"/>
          <w:sz w:val="22"/>
          <w:szCs w:val="22"/>
        </w:rPr>
        <w:t>money laundering and terror financing</w:t>
      </w:r>
      <w:bookmarkEnd w:id="8"/>
      <w:r w:rsidRPr="00313E11">
        <w:rPr>
          <w:rFonts w:ascii="Arial" w:hAnsi="Arial" w:cs="Arial"/>
          <w:sz w:val="22"/>
          <w:szCs w:val="22"/>
        </w:rPr>
        <w:t>, that its supervisory authorities have appropriate risk-based approaches, and that the Republic’s investigative and prosecuting authorities are able to speedily investigate, prosecute and seize assets related to financial crimes and corruption?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13E11">
        <w:rPr>
          <w:rFonts w:ascii="Arial" w:hAnsi="Arial" w:cs="Arial"/>
          <w:sz w:val="20"/>
          <w:szCs w:val="20"/>
        </w:rPr>
        <w:t>NW4935E</w:t>
      </w:r>
    </w:p>
    <w:p w:rsidR="005C4707" w:rsidRPr="005866A9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D02EC6" w:rsidRDefault="00981FD3" w:rsidP="00986408">
      <w:pPr>
        <w:spacing w:before="240" w:line="276" w:lineRule="auto"/>
        <w:ind w:left="709" w:right="305" w:firstLine="11"/>
        <w:jc w:val="both"/>
        <w:rPr>
          <w:rFonts w:ascii="Arial" w:hAnsi="Arial" w:cs="Arial"/>
          <w:sz w:val="22"/>
          <w:szCs w:val="22"/>
        </w:rPr>
      </w:pPr>
      <w:r w:rsidRPr="00986408">
        <w:rPr>
          <w:rFonts w:ascii="Arial" w:hAnsi="Arial" w:cs="Arial"/>
          <w:sz w:val="22"/>
          <w:szCs w:val="22"/>
        </w:rPr>
        <w:t xml:space="preserve">Government is </w:t>
      </w:r>
      <w:r w:rsidR="00B12EBA" w:rsidRPr="00986408">
        <w:rPr>
          <w:rFonts w:ascii="Arial" w:hAnsi="Arial" w:cs="Arial"/>
          <w:sz w:val="22"/>
          <w:szCs w:val="22"/>
        </w:rPr>
        <w:t>cognizant</w:t>
      </w:r>
      <w:r w:rsidR="000C41E9" w:rsidRPr="00986408">
        <w:rPr>
          <w:rFonts w:ascii="Arial" w:hAnsi="Arial" w:cs="Arial"/>
          <w:sz w:val="22"/>
          <w:szCs w:val="22"/>
        </w:rPr>
        <w:t xml:space="preserve"> of the importance of having credible risk assessments as this enables the fight </w:t>
      </w:r>
      <w:r w:rsidR="00A94B3F" w:rsidRPr="00986408">
        <w:rPr>
          <w:rFonts w:ascii="Arial" w:hAnsi="Arial" w:cs="Arial"/>
          <w:sz w:val="22"/>
          <w:szCs w:val="22"/>
        </w:rPr>
        <w:t>against money laundering, corruption and related financial crimes to be focused and targeted to high-risk areas and sectors. In this regard, to ensure the credibility of risk assessments</w:t>
      </w:r>
      <w:r w:rsidR="00952124">
        <w:rPr>
          <w:rFonts w:ascii="Arial" w:hAnsi="Arial" w:cs="Arial"/>
          <w:sz w:val="22"/>
          <w:szCs w:val="22"/>
        </w:rPr>
        <w:t>,</w:t>
      </w:r>
      <w:r w:rsidR="00A94B3F" w:rsidRPr="00986408">
        <w:rPr>
          <w:rFonts w:ascii="Arial" w:hAnsi="Arial" w:cs="Arial"/>
          <w:sz w:val="22"/>
          <w:szCs w:val="22"/>
        </w:rPr>
        <w:t xml:space="preserve"> the government</w:t>
      </w:r>
      <w:r w:rsidR="000C0C40">
        <w:rPr>
          <w:rFonts w:ascii="Arial" w:hAnsi="Arial" w:cs="Arial"/>
          <w:sz w:val="22"/>
          <w:szCs w:val="22"/>
        </w:rPr>
        <w:t>, including the supervisory authorities,</w:t>
      </w:r>
      <w:r w:rsidR="00A94B3F" w:rsidRPr="00986408">
        <w:rPr>
          <w:rFonts w:ascii="Arial" w:hAnsi="Arial" w:cs="Arial"/>
          <w:sz w:val="22"/>
          <w:szCs w:val="22"/>
        </w:rPr>
        <w:t xml:space="preserve"> takes into </w:t>
      </w:r>
      <w:r w:rsidR="00986408" w:rsidRPr="00986408">
        <w:rPr>
          <w:rFonts w:ascii="Arial" w:hAnsi="Arial" w:cs="Arial"/>
          <w:sz w:val="22"/>
          <w:szCs w:val="22"/>
        </w:rPr>
        <w:t>account the guidance that was issued by the Financial Action Task Force o</w:t>
      </w:r>
      <w:r w:rsidR="000C0C40">
        <w:rPr>
          <w:rFonts w:ascii="Arial" w:hAnsi="Arial" w:cs="Arial"/>
          <w:sz w:val="22"/>
          <w:szCs w:val="22"/>
        </w:rPr>
        <w:t>n</w:t>
      </w:r>
      <w:r w:rsidR="00986408" w:rsidRPr="00986408">
        <w:rPr>
          <w:rFonts w:ascii="Arial" w:hAnsi="Arial" w:cs="Arial"/>
          <w:sz w:val="22"/>
          <w:szCs w:val="22"/>
        </w:rPr>
        <w:t xml:space="preserve"> the conducting of risk assessments</w:t>
      </w:r>
      <w:r w:rsidR="00B12EBA">
        <w:rPr>
          <w:rFonts w:ascii="Arial" w:hAnsi="Arial" w:cs="Arial"/>
          <w:sz w:val="22"/>
          <w:szCs w:val="22"/>
        </w:rPr>
        <w:t xml:space="preserve">, which rely on reasonably standardized methodologies that rely on </w:t>
      </w:r>
      <w:r w:rsidR="002263C1">
        <w:rPr>
          <w:rFonts w:ascii="Arial" w:hAnsi="Arial" w:cs="Arial"/>
          <w:sz w:val="22"/>
          <w:szCs w:val="22"/>
        </w:rPr>
        <w:t>analysis</w:t>
      </w:r>
      <w:r w:rsidR="00B12EBA">
        <w:rPr>
          <w:rFonts w:ascii="Arial" w:hAnsi="Arial" w:cs="Arial"/>
          <w:sz w:val="22"/>
          <w:szCs w:val="22"/>
        </w:rPr>
        <w:t xml:space="preserve"> of existing data as well as in-depth engagement with relevant </w:t>
      </w:r>
      <w:r w:rsidR="00413649">
        <w:rPr>
          <w:rFonts w:ascii="Arial" w:hAnsi="Arial" w:cs="Arial"/>
          <w:sz w:val="22"/>
          <w:szCs w:val="22"/>
        </w:rPr>
        <w:t>stakeholders</w:t>
      </w:r>
      <w:r w:rsidR="00B12EBA">
        <w:rPr>
          <w:rFonts w:ascii="Arial" w:hAnsi="Arial" w:cs="Arial"/>
          <w:sz w:val="22"/>
          <w:szCs w:val="22"/>
        </w:rPr>
        <w:t xml:space="preserve"> and practitioners</w:t>
      </w:r>
      <w:r w:rsidR="00986408" w:rsidRPr="00986408">
        <w:rPr>
          <w:rFonts w:ascii="Arial" w:hAnsi="Arial" w:cs="Arial"/>
          <w:sz w:val="22"/>
          <w:szCs w:val="22"/>
        </w:rPr>
        <w:t>.</w:t>
      </w:r>
      <w:r w:rsidR="00A94B3F" w:rsidRPr="00986408">
        <w:rPr>
          <w:rFonts w:ascii="Arial" w:hAnsi="Arial" w:cs="Arial"/>
          <w:sz w:val="22"/>
          <w:szCs w:val="22"/>
        </w:rPr>
        <w:t xml:space="preserve"> </w:t>
      </w:r>
      <w:r w:rsidR="000C0C40">
        <w:rPr>
          <w:rFonts w:ascii="Arial" w:hAnsi="Arial" w:cs="Arial"/>
          <w:sz w:val="22"/>
          <w:szCs w:val="22"/>
        </w:rPr>
        <w:t xml:space="preserve">The guidance can be accessed using the following link on the FATF website: </w:t>
      </w:r>
      <w:hyperlink r:id="rId6" w:history="1">
        <w:r w:rsidR="000C0C40" w:rsidRPr="005E5631">
          <w:rPr>
            <w:rStyle w:val="Hyperlink"/>
            <w:rFonts w:ascii="Arial" w:hAnsi="Arial" w:cs="Arial"/>
            <w:sz w:val="22"/>
            <w:szCs w:val="22"/>
          </w:rPr>
          <w:t>https://www.fatf-gafi.org/media/fatf/content/images/National_ML_TF_Risk_Assessment.pdf</w:t>
        </w:r>
      </w:hyperlink>
      <w:r w:rsidR="00D02EC6">
        <w:rPr>
          <w:rFonts w:ascii="Arial" w:hAnsi="Arial" w:cs="Arial"/>
          <w:sz w:val="22"/>
          <w:szCs w:val="22"/>
        </w:rPr>
        <w:t xml:space="preserve">. </w:t>
      </w:r>
    </w:p>
    <w:p w:rsidR="00D02EC6" w:rsidRDefault="009C12EA" w:rsidP="00986408">
      <w:pPr>
        <w:spacing w:before="240" w:line="276" w:lineRule="auto"/>
        <w:ind w:left="709" w:right="305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Supervisory bodies are required to adopt a risk-based approach to supervision and effect these in line with their internally documented mechanisms. Additionally, s</w:t>
      </w:r>
      <w:r w:rsidR="00D02EC6">
        <w:rPr>
          <w:rFonts w:ascii="Arial" w:hAnsi="Arial" w:cs="Arial"/>
          <w:sz w:val="22"/>
          <w:szCs w:val="22"/>
        </w:rPr>
        <w:t>upervisory bodies</w:t>
      </w:r>
      <w:r w:rsidR="00AC4BFD">
        <w:rPr>
          <w:rFonts w:ascii="Arial" w:hAnsi="Arial" w:cs="Arial"/>
          <w:sz w:val="22"/>
          <w:szCs w:val="22"/>
        </w:rPr>
        <w:t>,</w:t>
      </w:r>
      <w:r w:rsidR="00D02EC6">
        <w:rPr>
          <w:rFonts w:ascii="Arial" w:hAnsi="Arial" w:cs="Arial"/>
          <w:sz w:val="22"/>
          <w:szCs w:val="22"/>
        </w:rPr>
        <w:t xml:space="preserve"> including the Prudential Authority and the Financial Sector Conduct Authority have conducted</w:t>
      </w:r>
      <w:r w:rsidR="005F0663">
        <w:rPr>
          <w:rFonts w:ascii="Arial" w:hAnsi="Arial" w:cs="Arial"/>
          <w:sz w:val="22"/>
          <w:szCs w:val="22"/>
        </w:rPr>
        <w:t xml:space="preserve"> money laundering and terrorist financing</w:t>
      </w:r>
      <w:r w:rsidR="00D02EC6">
        <w:rPr>
          <w:rFonts w:ascii="Arial" w:hAnsi="Arial" w:cs="Arial"/>
          <w:sz w:val="22"/>
          <w:szCs w:val="22"/>
        </w:rPr>
        <w:t xml:space="preserve"> sector risk assessments. </w:t>
      </w:r>
      <w:r w:rsidR="00B12EBA">
        <w:rPr>
          <w:rFonts w:ascii="Arial" w:hAnsi="Arial" w:cs="Arial"/>
          <w:sz w:val="22"/>
          <w:szCs w:val="22"/>
        </w:rPr>
        <w:t>These methodologies are reasonably standardized.</w:t>
      </w:r>
      <w:r w:rsidR="00D02EC6">
        <w:rPr>
          <w:rFonts w:ascii="Arial" w:hAnsi="Arial" w:cs="Arial"/>
          <w:sz w:val="22"/>
          <w:szCs w:val="22"/>
        </w:rPr>
        <w:t xml:space="preserve"> The second round sector risk assessments for the banking and life insurance sector have been issued by the Prudential Authority and are available at the following link:  </w:t>
      </w:r>
      <w:hyperlink r:id="rId7" w:history="1">
        <w:r w:rsidR="00D02EC6" w:rsidRPr="0070749B">
          <w:rPr>
            <w:rStyle w:val="Hyperlink"/>
            <w:rFonts w:ascii="Arial" w:hAnsi="Arial" w:cs="Arial"/>
            <w:sz w:val="22"/>
            <w:szCs w:val="22"/>
          </w:rPr>
          <w:t>https://www.resbank.co.za/en/home/publications/publication-detail-pages/media-releases/2022/Banking-and-Insurance-sectors-assessment-reports</w:t>
        </w:r>
      </w:hyperlink>
      <w:r w:rsidR="005F0663">
        <w:rPr>
          <w:rFonts w:ascii="Arial" w:hAnsi="Arial" w:cs="Arial"/>
          <w:sz w:val="22"/>
          <w:szCs w:val="22"/>
        </w:rPr>
        <w:t xml:space="preserve">. </w:t>
      </w:r>
    </w:p>
    <w:p w:rsidR="008047CD" w:rsidRDefault="008047CD" w:rsidP="00986408">
      <w:pPr>
        <w:spacing w:before="240" w:line="276" w:lineRule="auto"/>
        <w:ind w:left="709" w:right="305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supervisory agencies have developed sectoral risk assessments for AML/CFT which have been submitted to the </w:t>
      </w:r>
      <w:r w:rsidRPr="008047CD">
        <w:rPr>
          <w:rFonts w:ascii="Arial" w:hAnsi="Arial" w:cs="Arial"/>
          <w:sz w:val="22"/>
          <w:szCs w:val="22"/>
        </w:rPr>
        <w:t>Interdepartmental Committee on Anti-Money Laundering and the Combating of the Financing of Terrorism</w:t>
      </w:r>
      <w:r>
        <w:rPr>
          <w:rFonts w:ascii="Arial" w:hAnsi="Arial" w:cs="Arial"/>
          <w:sz w:val="22"/>
          <w:szCs w:val="22"/>
        </w:rPr>
        <w:t xml:space="preserve"> (AML/CFT) for consideration.</w:t>
      </w:r>
    </w:p>
    <w:p w:rsidR="000C0C40" w:rsidRPr="00986408" w:rsidRDefault="000C0C40" w:rsidP="00986408">
      <w:pPr>
        <w:spacing w:before="240" w:line="276" w:lineRule="auto"/>
        <w:ind w:left="709" w:right="305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the </w:t>
      </w:r>
      <w:r w:rsidR="009C60CC">
        <w:rPr>
          <w:rFonts w:ascii="Arial" w:hAnsi="Arial" w:cs="Arial"/>
          <w:sz w:val="22"/>
          <w:szCs w:val="22"/>
        </w:rPr>
        <w:t xml:space="preserve">IDC-AML/CFT also comprises the investigating and prosecuting authorities, the IDC-AML/CFT does not interfere with the work of the investigating and prosecuting authorities, as they </w:t>
      </w:r>
      <w:r w:rsidR="00A01BFF">
        <w:rPr>
          <w:rFonts w:ascii="Arial" w:hAnsi="Arial" w:cs="Arial"/>
          <w:sz w:val="22"/>
          <w:szCs w:val="22"/>
        </w:rPr>
        <w:t xml:space="preserve">operate independently in line with their </w:t>
      </w:r>
      <w:r w:rsidR="00A01BFF">
        <w:rPr>
          <w:rFonts w:ascii="Arial" w:hAnsi="Arial" w:cs="Arial"/>
          <w:sz w:val="22"/>
          <w:szCs w:val="22"/>
        </w:rPr>
        <w:lastRenderedPageBreak/>
        <w:t>investigating and prosecutorial policies</w:t>
      </w:r>
      <w:r w:rsidR="009C60CC">
        <w:rPr>
          <w:rFonts w:ascii="Arial" w:hAnsi="Arial" w:cs="Arial"/>
          <w:sz w:val="22"/>
          <w:szCs w:val="22"/>
        </w:rPr>
        <w:t>. However, the IDC-AML/CFT</w:t>
      </w:r>
      <w:r w:rsidR="00A01BFF">
        <w:rPr>
          <w:rFonts w:ascii="Arial" w:hAnsi="Arial" w:cs="Arial"/>
          <w:sz w:val="22"/>
          <w:szCs w:val="22"/>
        </w:rPr>
        <w:t xml:space="preserve"> </w:t>
      </w:r>
      <w:r w:rsidR="008047CD">
        <w:rPr>
          <w:rFonts w:ascii="Arial" w:hAnsi="Arial" w:cs="Arial"/>
          <w:sz w:val="22"/>
          <w:szCs w:val="22"/>
        </w:rPr>
        <w:t xml:space="preserve">guides </w:t>
      </w:r>
      <w:r w:rsidR="00A01BFF">
        <w:rPr>
          <w:rFonts w:ascii="Arial" w:hAnsi="Arial" w:cs="Arial"/>
          <w:sz w:val="22"/>
          <w:szCs w:val="22"/>
        </w:rPr>
        <w:t xml:space="preserve">the investigating and prosecuting authorities of the improvements that are required in the </w:t>
      </w:r>
      <w:r w:rsidR="008047CD">
        <w:rPr>
          <w:rFonts w:ascii="Arial" w:hAnsi="Arial" w:cs="Arial"/>
          <w:sz w:val="22"/>
          <w:szCs w:val="22"/>
        </w:rPr>
        <w:t>anti-</w:t>
      </w:r>
      <w:r w:rsidR="00A01BFF">
        <w:rPr>
          <w:rFonts w:ascii="Arial" w:hAnsi="Arial" w:cs="Arial"/>
          <w:sz w:val="22"/>
          <w:szCs w:val="22"/>
        </w:rPr>
        <w:t>money laundering and related offences</w:t>
      </w:r>
      <w:r w:rsidR="00F5303F">
        <w:rPr>
          <w:rFonts w:ascii="Arial" w:hAnsi="Arial" w:cs="Arial"/>
          <w:sz w:val="22"/>
          <w:szCs w:val="22"/>
        </w:rPr>
        <w:t xml:space="preserve"> policy framework</w:t>
      </w:r>
      <w:r w:rsidR="00E704E2">
        <w:rPr>
          <w:rFonts w:ascii="Arial" w:hAnsi="Arial" w:cs="Arial"/>
          <w:sz w:val="22"/>
          <w:szCs w:val="22"/>
        </w:rPr>
        <w:t>, and also for them to address deficiencies identified in the Mutual Evaluation report.</w:t>
      </w:r>
      <w:r w:rsidR="005A2965">
        <w:rPr>
          <w:rFonts w:ascii="Arial" w:hAnsi="Arial" w:cs="Arial"/>
          <w:sz w:val="22"/>
          <w:szCs w:val="22"/>
        </w:rPr>
        <w:t xml:space="preserve"> </w:t>
      </w:r>
      <w:r w:rsidR="002263C1">
        <w:rPr>
          <w:rFonts w:ascii="Arial" w:hAnsi="Arial" w:cs="Arial"/>
          <w:sz w:val="22"/>
          <w:szCs w:val="22"/>
        </w:rPr>
        <w:t>Government is</w:t>
      </w:r>
      <w:r w:rsidR="005A2965">
        <w:rPr>
          <w:rFonts w:ascii="Arial" w:hAnsi="Arial" w:cs="Arial"/>
          <w:sz w:val="22"/>
          <w:szCs w:val="22"/>
        </w:rPr>
        <w:t xml:space="preserve"> strongly of the view that considerable progress has been made in the effective use by South Africa’s law enforcement agencies of the powers provided for combating financial crime</w:t>
      </w:r>
      <w:r w:rsidR="002263C1">
        <w:rPr>
          <w:rFonts w:ascii="Arial" w:hAnsi="Arial" w:cs="Arial"/>
          <w:sz w:val="22"/>
          <w:szCs w:val="22"/>
        </w:rPr>
        <w:t>s</w:t>
      </w:r>
      <w:r w:rsidR="005A2965">
        <w:rPr>
          <w:rFonts w:ascii="Arial" w:hAnsi="Arial" w:cs="Arial"/>
          <w:sz w:val="22"/>
          <w:szCs w:val="22"/>
        </w:rPr>
        <w:t xml:space="preserve"> and money laundering. While much remains to be done, substantial progress is evident in relation</w:t>
      </w:r>
      <w:r w:rsidR="002263C1">
        <w:rPr>
          <w:rFonts w:ascii="Arial" w:hAnsi="Arial" w:cs="Arial"/>
          <w:sz w:val="22"/>
          <w:szCs w:val="22"/>
        </w:rPr>
        <w:t xml:space="preserve"> </w:t>
      </w:r>
      <w:r w:rsidR="005A2965">
        <w:rPr>
          <w:rFonts w:ascii="Arial" w:hAnsi="Arial" w:cs="Arial"/>
          <w:sz w:val="22"/>
          <w:szCs w:val="22"/>
        </w:rPr>
        <w:t>to “state capture” cases, the policing of PPE-related corruption, and corporate frauds.</w:t>
      </w:r>
    </w:p>
    <w:p w:rsidR="00870B75" w:rsidRDefault="00870B75" w:rsidP="00870B75">
      <w:pPr>
        <w:spacing w:before="240" w:line="276" w:lineRule="auto"/>
        <w:ind w:left="709" w:right="305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612EF">
        <w:rPr>
          <w:rFonts w:ascii="Arial" w:hAnsi="Arial" w:cs="Arial"/>
          <w:sz w:val="22"/>
          <w:szCs w:val="22"/>
        </w:rPr>
        <w:t>he IDC</w:t>
      </w:r>
      <w:r>
        <w:rPr>
          <w:rFonts w:ascii="Arial" w:hAnsi="Arial" w:cs="Arial"/>
          <w:sz w:val="22"/>
          <w:szCs w:val="22"/>
        </w:rPr>
        <w:t>-AML/CFT</w:t>
      </w:r>
      <w:r w:rsidRPr="00A612EF">
        <w:rPr>
          <w:rFonts w:ascii="Arial" w:hAnsi="Arial" w:cs="Arial"/>
          <w:sz w:val="22"/>
          <w:szCs w:val="22"/>
        </w:rPr>
        <w:t xml:space="preserve"> considers reports on risk assessments at regular intervals when assessments are updated, and that these are included in the </w:t>
      </w:r>
      <w:r w:rsidRPr="00381C2F">
        <w:rPr>
          <w:rFonts w:ascii="Arial" w:hAnsi="Arial" w:cs="Arial"/>
          <w:sz w:val="22"/>
          <w:szCs w:val="22"/>
        </w:rPr>
        <w:t>IDC</w:t>
      </w:r>
      <w:r>
        <w:rPr>
          <w:rFonts w:ascii="Arial" w:hAnsi="Arial" w:cs="Arial"/>
          <w:sz w:val="22"/>
          <w:szCs w:val="22"/>
        </w:rPr>
        <w:t>-AML/CFT’s</w:t>
      </w:r>
      <w:r w:rsidRPr="00A612EF">
        <w:rPr>
          <w:rFonts w:ascii="Arial" w:hAnsi="Arial" w:cs="Arial"/>
          <w:sz w:val="22"/>
          <w:szCs w:val="22"/>
        </w:rPr>
        <w:t xml:space="preserve"> formulation of AML/CFT policies. </w:t>
      </w:r>
    </w:p>
    <w:p w:rsidR="00372F47" w:rsidRPr="00A612EF" w:rsidRDefault="00372F47" w:rsidP="00870B75">
      <w:pPr>
        <w:spacing w:before="240" w:line="276" w:lineRule="auto"/>
        <w:ind w:left="709" w:right="305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C2B04">
        <w:rPr>
          <w:rFonts w:ascii="Arial" w:hAnsi="Arial" w:cs="Arial"/>
          <w:sz w:val="22"/>
          <w:szCs w:val="22"/>
        </w:rPr>
        <w:t xml:space="preserve"> IDC-AML/CFT</w:t>
      </w:r>
      <w:r w:rsidR="009D2BBD">
        <w:rPr>
          <w:rFonts w:ascii="Arial" w:hAnsi="Arial" w:cs="Arial"/>
          <w:sz w:val="22"/>
          <w:szCs w:val="22"/>
        </w:rPr>
        <w:t xml:space="preserve"> </w:t>
      </w:r>
      <w:r w:rsidR="006566CF">
        <w:rPr>
          <w:rFonts w:ascii="Arial" w:hAnsi="Arial" w:cs="Arial"/>
          <w:sz w:val="22"/>
          <w:szCs w:val="22"/>
        </w:rPr>
        <w:t>is in the process of finalising</w:t>
      </w:r>
      <w:r w:rsidR="009D2BBD">
        <w:rPr>
          <w:rFonts w:ascii="Arial" w:hAnsi="Arial" w:cs="Arial"/>
          <w:sz w:val="22"/>
          <w:szCs w:val="22"/>
        </w:rPr>
        <w:t xml:space="preserve"> a National Risk Assessment </w:t>
      </w:r>
      <w:r w:rsidR="005B0DA2">
        <w:rPr>
          <w:rFonts w:ascii="Arial" w:hAnsi="Arial" w:cs="Arial"/>
          <w:sz w:val="22"/>
          <w:szCs w:val="22"/>
        </w:rPr>
        <w:t xml:space="preserve">(NRA) </w:t>
      </w:r>
      <w:r w:rsidR="009D2BBD">
        <w:rPr>
          <w:rFonts w:ascii="Arial" w:hAnsi="Arial" w:cs="Arial"/>
          <w:sz w:val="22"/>
          <w:szCs w:val="22"/>
        </w:rPr>
        <w:t>for money laundering, terror financing and proliferation financing, and also a strategy for AML/CFT and the Countering of Proliferation Finance</w:t>
      </w:r>
      <w:r w:rsidR="00B33FC9">
        <w:rPr>
          <w:rFonts w:ascii="Arial" w:hAnsi="Arial" w:cs="Arial"/>
          <w:sz w:val="22"/>
          <w:szCs w:val="22"/>
        </w:rPr>
        <w:t xml:space="preserve"> (CPF)</w:t>
      </w:r>
      <w:r w:rsidR="009D2BBD">
        <w:rPr>
          <w:rFonts w:ascii="Arial" w:hAnsi="Arial" w:cs="Arial"/>
          <w:sz w:val="22"/>
          <w:szCs w:val="22"/>
        </w:rPr>
        <w:t>. The NRA document and the strategy document will be submitted to the FATF</w:t>
      </w:r>
      <w:r w:rsidR="005B0DA2">
        <w:rPr>
          <w:rFonts w:ascii="Arial" w:hAnsi="Arial" w:cs="Arial"/>
          <w:sz w:val="22"/>
          <w:szCs w:val="22"/>
        </w:rPr>
        <w:t xml:space="preserve"> around end-November 2022</w:t>
      </w:r>
      <w:r w:rsidR="009D2BBD">
        <w:rPr>
          <w:rFonts w:ascii="Arial" w:hAnsi="Arial" w:cs="Arial"/>
          <w:sz w:val="22"/>
          <w:szCs w:val="22"/>
        </w:rPr>
        <w:t xml:space="preserve"> as part of the process of</w:t>
      </w:r>
      <w:r w:rsidR="005B0DA2">
        <w:rPr>
          <w:rFonts w:ascii="Arial" w:hAnsi="Arial" w:cs="Arial"/>
          <w:sz w:val="22"/>
          <w:szCs w:val="22"/>
        </w:rPr>
        <w:t xml:space="preserve"> demonstrating progress in</w:t>
      </w:r>
      <w:r w:rsidR="009D2BBD">
        <w:rPr>
          <w:rFonts w:ascii="Arial" w:hAnsi="Arial" w:cs="Arial"/>
          <w:sz w:val="22"/>
          <w:szCs w:val="22"/>
        </w:rPr>
        <w:t xml:space="preserve"> addressing deficiencies identified in the Mutual Evaluation report relating to Risk, Policy and Co-ordination (FATF </w:t>
      </w:r>
      <w:r w:rsidR="00C75EB5">
        <w:rPr>
          <w:rFonts w:ascii="Arial" w:hAnsi="Arial" w:cs="Arial"/>
          <w:sz w:val="22"/>
          <w:szCs w:val="22"/>
        </w:rPr>
        <w:t xml:space="preserve">Methodology for effectiveness relating to </w:t>
      </w:r>
      <w:r w:rsidR="009D2BBD">
        <w:rPr>
          <w:rFonts w:ascii="Arial" w:hAnsi="Arial" w:cs="Arial"/>
          <w:sz w:val="22"/>
          <w:szCs w:val="22"/>
        </w:rPr>
        <w:t>Immediate Outcome 1)</w:t>
      </w:r>
      <w:r w:rsidR="00C75EB5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C75EB5" w:rsidRPr="00B64F18">
          <w:rPr>
            <w:rStyle w:val="Hyperlink"/>
            <w:rFonts w:ascii="Arial" w:hAnsi="Arial" w:cs="Arial"/>
            <w:sz w:val="22"/>
            <w:szCs w:val="22"/>
          </w:rPr>
          <w:t>https://www.fatf-gafi.org/media/fatf/documents/methodology/fatf%20methodology%2022%20feb%202013.pdf</w:t>
        </w:r>
      </w:hyperlink>
      <w:r w:rsidR="009D2BBD">
        <w:rPr>
          <w:rFonts w:ascii="Arial" w:hAnsi="Arial" w:cs="Arial"/>
          <w:sz w:val="22"/>
          <w:szCs w:val="22"/>
        </w:rPr>
        <w:t>.</w:t>
      </w:r>
      <w:r w:rsidR="00C75EB5">
        <w:rPr>
          <w:rFonts w:ascii="Arial" w:hAnsi="Arial" w:cs="Arial"/>
          <w:sz w:val="22"/>
          <w:szCs w:val="22"/>
        </w:rPr>
        <w:t xml:space="preserve">) </w:t>
      </w:r>
      <w:r w:rsidR="009D2BBD">
        <w:rPr>
          <w:rFonts w:ascii="Arial" w:hAnsi="Arial" w:cs="Arial"/>
          <w:sz w:val="22"/>
          <w:szCs w:val="22"/>
        </w:rPr>
        <w:t xml:space="preserve"> </w:t>
      </w:r>
    </w:p>
    <w:p w:rsidR="00870B75" w:rsidRPr="002540FC" w:rsidRDefault="0016394A" w:rsidP="002540FC">
      <w:pPr>
        <w:spacing w:before="240" w:line="276" w:lineRule="auto"/>
        <w:ind w:left="709" w:right="305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IDC-AML/CFT will publish summarised versions of the NRA and national strategy documents </w:t>
      </w:r>
      <w:r w:rsidR="00A53208">
        <w:rPr>
          <w:rFonts w:ascii="Arial" w:hAnsi="Arial" w:cs="Arial"/>
          <w:sz w:val="22"/>
          <w:szCs w:val="22"/>
        </w:rPr>
        <w:t>as soon as they are finali</w:t>
      </w:r>
      <w:r w:rsidR="002540FC">
        <w:rPr>
          <w:rFonts w:ascii="Arial" w:hAnsi="Arial" w:cs="Arial"/>
          <w:sz w:val="22"/>
          <w:szCs w:val="22"/>
        </w:rPr>
        <w:t>s</w:t>
      </w:r>
      <w:r w:rsidR="00A53208">
        <w:rPr>
          <w:rFonts w:ascii="Arial" w:hAnsi="Arial" w:cs="Arial"/>
          <w:sz w:val="22"/>
          <w:szCs w:val="22"/>
        </w:rPr>
        <w:t>ed.</w:t>
      </w:r>
    </w:p>
    <w:p w:rsidR="009733D6" w:rsidRDefault="009733D6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9733D6" w:rsidSect="00D537FD">
      <w:footerReference w:type="default" r:id="rId9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50" w:rsidRDefault="00C61B50">
      <w:r>
        <w:separator/>
      </w:r>
    </w:p>
  </w:endnote>
  <w:endnote w:type="continuationSeparator" w:id="0">
    <w:p w:rsidR="00C61B50" w:rsidRDefault="00C6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9B322D">
        <w:pPr>
          <w:pStyle w:val="Footer"/>
          <w:jc w:val="center"/>
        </w:pPr>
        <w:r>
          <w:fldChar w:fldCharType="begin"/>
        </w:r>
        <w:r w:rsidR="009C12EA">
          <w:instrText xml:space="preserve"> PAGE   \* MERGEFORMAT </w:instrText>
        </w:r>
        <w:r>
          <w:fldChar w:fldCharType="separate"/>
        </w:r>
        <w:r w:rsidR="00C61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C61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50" w:rsidRDefault="00C61B50">
      <w:r>
        <w:separator/>
      </w:r>
    </w:p>
  </w:footnote>
  <w:footnote w:type="continuationSeparator" w:id="0">
    <w:p w:rsidR="00C61B50" w:rsidRDefault="00C61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mwqAUAAjnmuCwAAAA="/>
  </w:docVars>
  <w:rsids>
    <w:rsidRoot w:val="005C4707"/>
    <w:rsid w:val="00007B7E"/>
    <w:rsid w:val="000125A9"/>
    <w:rsid w:val="00031CB7"/>
    <w:rsid w:val="00065DBA"/>
    <w:rsid w:val="000B266F"/>
    <w:rsid w:val="000C0C40"/>
    <w:rsid w:val="000C41E9"/>
    <w:rsid w:val="000D0801"/>
    <w:rsid w:val="00126756"/>
    <w:rsid w:val="0016394A"/>
    <w:rsid w:val="00175B0E"/>
    <w:rsid w:val="001D0B69"/>
    <w:rsid w:val="001E3275"/>
    <w:rsid w:val="002263C1"/>
    <w:rsid w:val="002319C8"/>
    <w:rsid w:val="002540FC"/>
    <w:rsid w:val="00301DBA"/>
    <w:rsid w:val="00313E11"/>
    <w:rsid w:val="0031677F"/>
    <w:rsid w:val="0032437A"/>
    <w:rsid w:val="00360F27"/>
    <w:rsid w:val="00371FDC"/>
    <w:rsid w:val="00372F47"/>
    <w:rsid w:val="003E53DA"/>
    <w:rsid w:val="003F0FA6"/>
    <w:rsid w:val="00413649"/>
    <w:rsid w:val="00450041"/>
    <w:rsid w:val="004C2B04"/>
    <w:rsid w:val="00556331"/>
    <w:rsid w:val="005656B2"/>
    <w:rsid w:val="0058226B"/>
    <w:rsid w:val="005866A9"/>
    <w:rsid w:val="005878E7"/>
    <w:rsid w:val="005A2965"/>
    <w:rsid w:val="005B0DA2"/>
    <w:rsid w:val="005C4707"/>
    <w:rsid w:val="005F0663"/>
    <w:rsid w:val="006566CF"/>
    <w:rsid w:val="006A3015"/>
    <w:rsid w:val="006B0443"/>
    <w:rsid w:val="006C708D"/>
    <w:rsid w:val="006E4C3B"/>
    <w:rsid w:val="006F067A"/>
    <w:rsid w:val="006F2B2E"/>
    <w:rsid w:val="00712641"/>
    <w:rsid w:val="007205D0"/>
    <w:rsid w:val="007354AE"/>
    <w:rsid w:val="007C0015"/>
    <w:rsid w:val="007E5CDD"/>
    <w:rsid w:val="008047CD"/>
    <w:rsid w:val="00810FD1"/>
    <w:rsid w:val="00870B75"/>
    <w:rsid w:val="00883A54"/>
    <w:rsid w:val="00883E5E"/>
    <w:rsid w:val="008F410C"/>
    <w:rsid w:val="00923293"/>
    <w:rsid w:val="00952124"/>
    <w:rsid w:val="009733D6"/>
    <w:rsid w:val="00981FD3"/>
    <w:rsid w:val="00986408"/>
    <w:rsid w:val="009B322D"/>
    <w:rsid w:val="009C12EA"/>
    <w:rsid w:val="009C60CC"/>
    <w:rsid w:val="009D2AF0"/>
    <w:rsid w:val="009D2BBD"/>
    <w:rsid w:val="00A01BFF"/>
    <w:rsid w:val="00A30B98"/>
    <w:rsid w:val="00A53208"/>
    <w:rsid w:val="00A612EF"/>
    <w:rsid w:val="00A94B3F"/>
    <w:rsid w:val="00AC4BFD"/>
    <w:rsid w:val="00AE062C"/>
    <w:rsid w:val="00B01F48"/>
    <w:rsid w:val="00B12EBA"/>
    <w:rsid w:val="00B33FC9"/>
    <w:rsid w:val="00B343B1"/>
    <w:rsid w:val="00B71EA9"/>
    <w:rsid w:val="00BA5F63"/>
    <w:rsid w:val="00C273CE"/>
    <w:rsid w:val="00C605E2"/>
    <w:rsid w:val="00C61B50"/>
    <w:rsid w:val="00C740B4"/>
    <w:rsid w:val="00C75EB5"/>
    <w:rsid w:val="00CE4B61"/>
    <w:rsid w:val="00D02EC6"/>
    <w:rsid w:val="00D0300A"/>
    <w:rsid w:val="00D30DDF"/>
    <w:rsid w:val="00DA32C3"/>
    <w:rsid w:val="00DA3DD8"/>
    <w:rsid w:val="00E01C79"/>
    <w:rsid w:val="00E507A1"/>
    <w:rsid w:val="00E704E2"/>
    <w:rsid w:val="00E77046"/>
    <w:rsid w:val="00EB6BB2"/>
    <w:rsid w:val="00EC44EF"/>
    <w:rsid w:val="00F5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DA32C3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A32C3"/>
    <w:rPr>
      <w:rFonts w:ascii="Calibri" w:eastAsia="SimSun" w:hAnsi="Calibri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4E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4EF"/>
    <w:rPr>
      <w:rFonts w:ascii="Calibri" w:eastAsia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0C0C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C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E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C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2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f-gafi.org/media/fatf/documents/methodology/fatf%20methodology%2022%20feb%2020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bank.co.za/en/home/publications/publication-detail-pages/media-releases/2022/Banking-and-Insurance-sectors-assessment-re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tf-gafi.org/media/fatf/content/images/National_ML_TF_Risk_Assessmen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2022-11-24T08:14:00Z</cp:lastPrinted>
  <dcterms:created xsi:type="dcterms:W3CDTF">2022-12-09T08:00:00Z</dcterms:created>
  <dcterms:modified xsi:type="dcterms:W3CDTF">2022-12-09T08:00:00Z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