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line="20" w:lineRule="exact"/>
        <w:ind w:left="14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34.1pt;height:1.8pt;mso-position-horizontal-relative:char;mso-position-vertical-relative:line" id="docshapegroup1" coordorigin="0,0" coordsize="8682,36">
            <v:line style="position:absolute" from="0,18" to="8681,18" stroked="true" strokeweight="1.783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5608" w:val="left" w:leader="none"/>
        </w:tabs>
        <w:spacing w:line="484" w:lineRule="auto" w:before="93"/>
        <w:ind w:left="2728" w:right="272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REPLY QUESTION NUMBER:</w:t>
        <w:tab/>
      </w:r>
      <w:r>
        <w:rPr>
          <w:b/>
          <w:spacing w:val="-4"/>
          <w:sz w:val="24"/>
        </w:rPr>
        <w:t>3966</w:t>
      </w:r>
    </w:p>
    <w:p>
      <w:pPr>
        <w:spacing w:line="345" w:lineRule="auto" w:before="0"/>
        <w:ind w:left="233" w:right="226" w:firstLine="0"/>
        <w:jc w:val="center"/>
        <w:rPr>
          <w:b/>
          <w:sz w:val="24"/>
        </w:rPr>
      </w:pPr>
      <w:r>
        <w:rPr/>
        <w:pict>
          <v:rect style="position:absolute;margin-left:70.584pt;margin-top:34.655869pt;width:454.27pt;height:1.44pt;mso-position-horizontal-relative:page;mso-position-vertical-relative:paragraph;z-index:-15757312" id="docshape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DATE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PAPER: 28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2022 INTERNAL QUESTION PAPER NUMBER: 42 - 2022</w:t>
      </w:r>
    </w:p>
    <w:p>
      <w:pPr>
        <w:pStyle w:val="BodyText"/>
        <w:spacing w:before="5"/>
        <w:rPr>
          <w:b/>
          <w:sz w:val="9"/>
        </w:rPr>
      </w:pPr>
    </w:p>
    <w:p>
      <w:pPr>
        <w:spacing w:before="93"/>
        <w:ind w:left="140" w:right="0" w:firstLine="0"/>
        <w:jc w:val="both"/>
        <w:rPr>
          <w:b/>
          <w:sz w:val="24"/>
        </w:rPr>
      </w:pPr>
      <w:r>
        <w:rPr>
          <w:b/>
          <w:sz w:val="24"/>
        </w:rPr>
        <w:t>3966.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George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(DA)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Development: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40" w:right="443"/>
        <w:jc w:val="both"/>
      </w:pPr>
      <w:r>
        <w:rPr/>
        <w:t>Whether her department and the National Treasury have agreed on a comprehensive social relief package to address the growing levels of food insecurity</w:t>
      </w:r>
      <w:r>
        <w:rPr>
          <w:spacing w:val="37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Republic;</w:t>
      </w:r>
      <w:r>
        <w:rPr>
          <w:spacing w:val="41"/>
        </w:rPr>
        <w:t> </w:t>
      </w:r>
      <w:r>
        <w:rPr/>
        <w:t>if</w:t>
      </w:r>
      <w:r>
        <w:rPr>
          <w:spacing w:val="42"/>
        </w:rPr>
        <w:t> </w:t>
      </w:r>
      <w:r>
        <w:rPr/>
        <w:t>not,</w:t>
      </w:r>
      <w:r>
        <w:rPr>
          <w:spacing w:val="38"/>
        </w:rPr>
        <w:t> </w:t>
      </w:r>
      <w:r>
        <w:rPr/>
        <w:t>why</w:t>
      </w:r>
      <w:r>
        <w:rPr>
          <w:spacing w:val="38"/>
        </w:rPr>
        <w:t> </w:t>
      </w:r>
      <w:r>
        <w:rPr/>
        <w:t>not;</w:t>
      </w:r>
      <w:r>
        <w:rPr>
          <w:spacing w:val="45"/>
        </w:rPr>
        <w:t> </w:t>
      </w:r>
      <w:r>
        <w:rPr/>
        <w:t>if</w:t>
      </w:r>
      <w:r>
        <w:rPr>
          <w:spacing w:val="41"/>
        </w:rPr>
        <w:t> </w:t>
      </w:r>
      <w:r>
        <w:rPr/>
        <w:t>so,</w:t>
      </w:r>
      <w:r>
        <w:rPr>
          <w:spacing w:val="40"/>
        </w:rPr>
        <w:t> </w:t>
      </w:r>
      <w:r>
        <w:rPr/>
        <w:t>what</w:t>
      </w:r>
      <w:r>
        <w:rPr>
          <w:spacing w:val="38"/>
        </w:rPr>
        <w:t> </w:t>
      </w:r>
      <w:r>
        <w:rPr/>
        <w:t>are</w:t>
      </w:r>
      <w:r>
        <w:rPr>
          <w:spacing w:val="37"/>
        </w:rPr>
        <w:t> </w:t>
      </w:r>
      <w:r>
        <w:rPr/>
        <w:t>the</w:t>
      </w:r>
      <w:r>
        <w:rPr>
          <w:spacing w:val="41"/>
        </w:rPr>
        <w:t> </w:t>
      </w:r>
      <w:r>
        <w:rPr/>
        <w:t>relevant</w:t>
      </w:r>
      <w:r>
        <w:rPr>
          <w:spacing w:val="40"/>
        </w:rPr>
        <w:t> </w:t>
      </w:r>
      <w:r>
        <w:rPr>
          <w:spacing w:val="-2"/>
        </w:rPr>
        <w:t>details?</w:t>
      </w:r>
    </w:p>
    <w:p>
      <w:pPr>
        <w:pStyle w:val="BodyText"/>
        <w:ind w:left="860"/>
      </w:pPr>
      <w:r>
        <w:rPr>
          <w:spacing w:val="-2"/>
        </w:rPr>
        <w:t>NW4934E</w:t>
      </w:r>
    </w:p>
    <w:p>
      <w:pPr>
        <w:spacing w:before="200"/>
        <w:ind w:left="1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REPLY:</w:t>
      </w: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140" w:right="134"/>
        <w:jc w:val="both"/>
      </w:pPr>
      <w:r>
        <w:rPr/>
        <w:t>The pandemic and the consequent lock-down exacerbated the loss of household income and increased hunger, which heightened the demand for the Department to provide</w:t>
      </w:r>
      <w:r>
        <w:rPr>
          <w:spacing w:val="-7"/>
        </w:rPr>
        <w:t> </w:t>
      </w:r>
      <w:r>
        <w:rPr/>
        <w:t>food</w:t>
      </w:r>
      <w:r>
        <w:rPr>
          <w:spacing w:val="-7"/>
        </w:rPr>
        <w:t> </w:t>
      </w:r>
      <w:r>
        <w:rPr/>
        <w:t>relief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Social</w:t>
      </w:r>
      <w:r>
        <w:rPr>
          <w:spacing w:val="-8"/>
        </w:rPr>
        <w:t> </w:t>
      </w:r>
      <w:r>
        <w:rPr/>
        <w:t>Relief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Distress</w:t>
      </w:r>
      <w:r>
        <w:rPr>
          <w:spacing w:val="-8"/>
        </w:rPr>
        <w:t> </w:t>
      </w:r>
      <w:r>
        <w:rPr/>
        <w:t>(SRD).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result,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Department,</w:t>
      </w:r>
      <w:r>
        <w:rPr>
          <w:spacing w:val="-7"/>
        </w:rPr>
        <w:t> </w:t>
      </w:r>
      <w:r>
        <w:rPr/>
        <w:t>in consultation with the Presidency, National Treasury and other relevant stakeholders, developed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implemented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social</w:t>
      </w:r>
      <w:r>
        <w:rPr>
          <w:spacing w:val="-17"/>
        </w:rPr>
        <w:t> </w:t>
      </w:r>
      <w:r>
        <w:rPr/>
        <w:t>relief</w:t>
      </w:r>
      <w:r>
        <w:rPr>
          <w:spacing w:val="-17"/>
        </w:rPr>
        <w:t> </w:t>
      </w:r>
      <w:r>
        <w:rPr/>
        <w:t>package</w:t>
      </w:r>
      <w:r>
        <w:rPr>
          <w:spacing w:val="-16"/>
        </w:rPr>
        <w:t> </w:t>
      </w:r>
      <w:r>
        <w:rPr/>
        <w:t>for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period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six</w:t>
      </w:r>
      <w:r>
        <w:rPr>
          <w:spacing w:val="-17"/>
        </w:rPr>
        <w:t> </w:t>
      </w:r>
      <w:r>
        <w:rPr/>
        <w:t>(6)</w:t>
      </w:r>
      <w:r>
        <w:rPr>
          <w:spacing w:val="-16"/>
        </w:rPr>
        <w:t> </w:t>
      </w:r>
      <w:r>
        <w:rPr/>
        <w:t>months</w:t>
      </w:r>
      <w:r>
        <w:rPr>
          <w:spacing w:val="-17"/>
        </w:rPr>
        <w:t> </w:t>
      </w:r>
      <w:r>
        <w:rPr/>
        <w:t>which was inclusive of the COVID-19 SRD (cSRD) and social grant top-ups.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0" w:right="135" w:firstLine="67"/>
        <w:jc w:val="both"/>
      </w:pPr>
      <w:r>
        <w:rPr/>
        <w:t>However, most of the relief packages came to an end in October 2020 with an exception of the cSRD. It should be noted that the cSRD was initially extended by 3 months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January</w:t>
      </w:r>
      <w:r>
        <w:rPr>
          <w:spacing w:val="-9"/>
        </w:rPr>
        <w:t> </w:t>
      </w:r>
      <w:r>
        <w:rPr/>
        <w:t>2021,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further</w:t>
      </w:r>
      <w:r>
        <w:rPr>
          <w:spacing w:val="-5"/>
        </w:rPr>
        <w:t> </w:t>
      </w:r>
      <w:r>
        <w:rPr/>
        <w:t>3</w:t>
      </w:r>
      <w:r>
        <w:rPr>
          <w:spacing w:val="-7"/>
        </w:rPr>
        <w:t> </w:t>
      </w:r>
      <w:r>
        <w:rPr/>
        <w:t>months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April</w:t>
      </w:r>
      <w:r>
        <w:rPr>
          <w:spacing w:val="-6"/>
        </w:rPr>
        <w:t> </w:t>
      </w:r>
      <w:r>
        <w:rPr/>
        <w:t>2021.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July</w:t>
      </w:r>
      <w:r>
        <w:rPr>
          <w:spacing w:val="-9"/>
        </w:rPr>
        <w:t> </w:t>
      </w:r>
      <w:r>
        <w:rPr/>
        <w:t>2022,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was further extended to March 2022, after which it was extended for a full financial year from April 2022 to March 2023 under the</w:t>
      </w:r>
      <w:r>
        <w:rPr>
          <w:spacing w:val="-2"/>
        </w:rPr>
        <w:t> </w:t>
      </w:r>
      <w:r>
        <w:rPr/>
        <w:t>Social Assistance Regulations.</w:t>
      </w:r>
      <w:r>
        <w:rPr>
          <w:spacing w:val="40"/>
        </w:rPr>
        <w:t> </w:t>
      </w:r>
      <w:r>
        <w:rPr/>
        <w:t>At its peak, the SRD grant was able to support 10.9 million beneficiaries in March 2022, but this has declined to 8.1 million people as at mid-November, due to stricter qualification criteria. The majority of beneficiaries have confirmed that they used the money primarily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food,</w:t>
      </w:r>
      <w:r>
        <w:rPr>
          <w:spacing w:val="-2"/>
        </w:rPr>
        <w:t> </w:t>
      </w:r>
      <w:r>
        <w:rPr/>
        <w:t>followed by</w:t>
      </w:r>
      <w:r>
        <w:rPr>
          <w:spacing w:val="-2"/>
        </w:rPr>
        <w:t> </w:t>
      </w:r>
      <w:r>
        <w:rPr/>
        <w:t>electricity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masks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personal protection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pandemic.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865" w:footer="0" w:top="3260" w:bottom="280" w:left="1300" w:right="1300"/>
          <w:pgNumType w:start="1"/>
        </w:sectPr>
      </w:pPr>
    </w:p>
    <w:p>
      <w:pPr>
        <w:pStyle w:val="BodyText"/>
        <w:spacing w:line="276" w:lineRule="auto" w:before="135"/>
        <w:ind w:left="140" w:right="134"/>
        <w:jc w:val="both"/>
      </w:pPr>
      <w:r>
        <w:rPr/>
        <w:t>The</w:t>
      </w:r>
      <w:r>
        <w:rPr>
          <w:spacing w:val="-9"/>
        </w:rPr>
        <w:t> </w:t>
      </w:r>
      <w:r>
        <w:rPr/>
        <w:t>Minister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Finance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his</w:t>
      </w:r>
      <w:r>
        <w:rPr>
          <w:spacing w:val="-8"/>
        </w:rPr>
        <w:t> </w:t>
      </w:r>
      <w:r>
        <w:rPr/>
        <w:t>Medium-Term</w:t>
      </w:r>
      <w:r>
        <w:rPr>
          <w:spacing w:val="-11"/>
        </w:rPr>
        <w:t> </w:t>
      </w:r>
      <w:r>
        <w:rPr/>
        <w:t>Budget</w:t>
      </w:r>
      <w:r>
        <w:rPr>
          <w:spacing w:val="-10"/>
        </w:rPr>
        <w:t> </w:t>
      </w:r>
      <w:r>
        <w:rPr/>
        <w:t>Policy</w:t>
      </w:r>
      <w:r>
        <w:rPr>
          <w:spacing w:val="-11"/>
        </w:rPr>
        <w:t> </w:t>
      </w:r>
      <w:r>
        <w:rPr/>
        <w:t>Statement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announced a further extension of the cSRD until the end of the 2023/24 financial year, which is welcomed by the Department.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0" w:right="133"/>
        <w:jc w:val="both"/>
      </w:pPr>
      <w:r>
        <w:rPr/>
        <w:t>The extension of the provision until 2023/24 financial year will provide some assistance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cushion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poverty,</w:t>
      </w:r>
      <w:r>
        <w:rPr>
          <w:spacing w:val="-3"/>
        </w:rPr>
        <w:t> </w:t>
      </w:r>
      <w:r>
        <w:rPr/>
        <w:t>food</w:t>
      </w:r>
      <w:r>
        <w:rPr>
          <w:spacing w:val="-5"/>
        </w:rPr>
        <w:t> </w:t>
      </w:r>
      <w:r>
        <w:rPr/>
        <w:t>insecurity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inflation</w:t>
      </w:r>
      <w:r>
        <w:rPr>
          <w:spacing w:val="-3"/>
        </w:rPr>
        <w:t> </w:t>
      </w:r>
      <w:r>
        <w:rPr/>
        <w:t>rate amongst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poor,</w:t>
      </w:r>
      <w:r>
        <w:rPr>
          <w:spacing w:val="-7"/>
        </w:rPr>
        <w:t> </w:t>
      </w:r>
      <w:r>
        <w:rPr/>
        <w:t>particularly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working-age</w:t>
      </w:r>
      <w:r>
        <w:rPr>
          <w:spacing w:val="-5"/>
        </w:rPr>
        <w:t> </w:t>
      </w:r>
      <w:r>
        <w:rPr/>
        <w:t>population,</w:t>
      </w:r>
      <w:r>
        <w:rPr>
          <w:spacing w:val="-7"/>
        </w:rPr>
        <w:t> </w:t>
      </w:r>
      <w:r>
        <w:rPr/>
        <w:t>who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7"/>
        </w:rPr>
        <w:t> </w:t>
      </w:r>
      <w:r>
        <w:rPr/>
        <w:t>hardest</w:t>
      </w:r>
      <w:r>
        <w:rPr>
          <w:spacing w:val="-7"/>
        </w:rPr>
        <w:t> </w:t>
      </w:r>
      <w:r>
        <w:rPr/>
        <w:t>hit by the pandemic, whilst a sustainable permanent intervention is being explored. Further engagement is ongoing with the National Treasury regarding longer term interventions, including other complementary measures linked to labour activation </w:t>
      </w:r>
      <w:r>
        <w:rPr>
          <w:spacing w:val="-2"/>
        </w:rPr>
        <w:t>measures.</w:t>
      </w:r>
    </w:p>
    <w:p>
      <w:pPr>
        <w:pStyle w:val="BodyText"/>
        <w:spacing w:before="1"/>
      </w:pPr>
    </w:p>
    <w:p>
      <w:pPr>
        <w:pStyle w:val="BodyText"/>
        <w:ind w:left="140" w:right="136"/>
        <w:jc w:val="both"/>
      </w:pPr>
      <w:r>
        <w:rPr/>
        <w:t>The Department also implements the Household Food and Nutrition security programme throughout nine Provinces. Vulnerable and poor individuals aged 19 -59 years are provided with cooked meals served at 282 Community Nutrition and Development Centres (CNDCs) that are spread in the most remote areas of the </w:t>
      </w:r>
      <w:r>
        <w:rPr>
          <w:spacing w:val="-2"/>
        </w:rPr>
        <w:t>country.</w:t>
      </w:r>
    </w:p>
    <w:sectPr>
      <w:pgSz w:w="11910" w:h="16840"/>
      <w:pgMar w:header="865" w:footer="0" w:top="32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8656">
          <wp:simplePos x="0" y="0"/>
          <wp:positionH relativeFrom="page">
            <wp:posOffset>2535708</wp:posOffset>
          </wp:positionH>
          <wp:positionV relativeFrom="page">
            <wp:posOffset>549211</wp:posOffset>
          </wp:positionV>
          <wp:extent cx="2429448" cy="15276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9448" cy="152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dcterms:created xsi:type="dcterms:W3CDTF">2023-05-30T10:32:08Z</dcterms:created>
  <dcterms:modified xsi:type="dcterms:W3CDTF">2023-05-30T10:32:08Z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