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9A133D" w:rsidRDefault="00F515CF" w:rsidP="00D16E3E">
      <w:pPr>
        <w:spacing w:after="0" w:line="240" w:lineRule="auto"/>
        <w:jc w:val="center"/>
        <w:rPr>
          <w:rFonts w:ascii="Arial" w:eastAsia="Times New Roman" w:hAnsi="Arial" w:cs="Arial"/>
          <w:sz w:val="24"/>
          <w:szCs w:val="24"/>
        </w:rPr>
      </w:pPr>
      <w:r w:rsidRPr="009A133D">
        <w:rPr>
          <w:rFonts w:ascii="Arial" w:eastAsia="Times New Roman" w:hAnsi="Arial" w:cs="Arial"/>
          <w:b/>
          <w:bCs/>
          <w:sz w:val="24"/>
          <w:szCs w:val="24"/>
        </w:rPr>
        <w:t>NATIONAL ASSEMBLY</w:t>
      </w:r>
    </w:p>
    <w:p w:rsidR="00F515CF" w:rsidRPr="009A133D" w:rsidRDefault="001304CF" w:rsidP="00D16E3E">
      <w:pPr>
        <w:spacing w:after="0" w:line="240" w:lineRule="auto"/>
        <w:jc w:val="center"/>
        <w:rPr>
          <w:rFonts w:ascii="Arial" w:eastAsia="Times New Roman" w:hAnsi="Arial" w:cs="Arial"/>
          <w:b/>
          <w:sz w:val="24"/>
          <w:szCs w:val="24"/>
        </w:rPr>
      </w:pPr>
      <w:r w:rsidRPr="009A133D">
        <w:rPr>
          <w:rFonts w:ascii="Arial" w:eastAsia="Times New Roman" w:hAnsi="Arial" w:cs="Arial"/>
          <w:b/>
          <w:sz w:val="24"/>
          <w:szCs w:val="24"/>
        </w:rPr>
        <w:t>W</w:t>
      </w:r>
      <w:r w:rsidR="003F27D2" w:rsidRPr="009A133D">
        <w:rPr>
          <w:rFonts w:ascii="Arial" w:eastAsia="Times New Roman" w:hAnsi="Arial" w:cs="Arial"/>
          <w:b/>
          <w:sz w:val="24"/>
          <w:szCs w:val="24"/>
        </w:rPr>
        <w:t>R</w:t>
      </w:r>
      <w:r w:rsidRPr="009A133D">
        <w:rPr>
          <w:rFonts w:ascii="Arial" w:eastAsia="Times New Roman" w:hAnsi="Arial" w:cs="Arial"/>
          <w:b/>
          <w:sz w:val="24"/>
          <w:szCs w:val="24"/>
        </w:rPr>
        <w:t>ITTEN</w:t>
      </w:r>
      <w:r w:rsidR="00F515CF" w:rsidRPr="009A133D">
        <w:rPr>
          <w:rFonts w:ascii="Arial" w:eastAsia="Times New Roman" w:hAnsi="Arial" w:cs="Arial"/>
          <w:b/>
          <w:sz w:val="24"/>
          <w:szCs w:val="24"/>
        </w:rPr>
        <w:t xml:space="preserve"> REPLY</w:t>
      </w:r>
    </w:p>
    <w:p w:rsidR="001168CA" w:rsidRPr="009A133D" w:rsidRDefault="001168CA" w:rsidP="00D16E3E">
      <w:pPr>
        <w:spacing w:after="0" w:line="240" w:lineRule="auto"/>
        <w:rPr>
          <w:rFonts w:ascii="Arial" w:eastAsia="Times New Roman" w:hAnsi="Arial" w:cs="Arial"/>
          <w:sz w:val="24"/>
          <w:szCs w:val="24"/>
        </w:rPr>
      </w:pPr>
    </w:p>
    <w:p w:rsidR="00FD7F03" w:rsidRPr="009A133D" w:rsidRDefault="00FD7F03" w:rsidP="00D16E3E">
      <w:pPr>
        <w:spacing w:after="0" w:line="240" w:lineRule="auto"/>
        <w:rPr>
          <w:rFonts w:ascii="Arial" w:eastAsia="Times New Roman" w:hAnsi="Arial" w:cs="Arial"/>
          <w:b/>
          <w:bCs/>
          <w:sz w:val="24"/>
          <w:szCs w:val="24"/>
        </w:rPr>
      </w:pPr>
    </w:p>
    <w:p w:rsidR="00F515CF" w:rsidRPr="005F5053" w:rsidRDefault="00F515CF" w:rsidP="00D16E3E">
      <w:pPr>
        <w:spacing w:after="0" w:line="240" w:lineRule="auto"/>
        <w:rPr>
          <w:rFonts w:ascii="Arial" w:eastAsia="Times New Roman" w:hAnsi="Arial" w:cs="Arial"/>
          <w:sz w:val="24"/>
          <w:szCs w:val="24"/>
        </w:rPr>
      </w:pPr>
      <w:r w:rsidRPr="005F5053">
        <w:rPr>
          <w:rFonts w:ascii="Arial" w:eastAsia="Times New Roman" w:hAnsi="Arial" w:cs="Arial"/>
          <w:b/>
          <w:bCs/>
          <w:sz w:val="24"/>
          <w:szCs w:val="24"/>
        </w:rPr>
        <w:t xml:space="preserve">QUESTION </w:t>
      </w:r>
      <w:r w:rsidR="00F346B2" w:rsidRPr="005F5053">
        <w:rPr>
          <w:rFonts w:ascii="Arial" w:eastAsia="Times New Roman" w:hAnsi="Arial" w:cs="Arial"/>
          <w:b/>
          <w:bCs/>
          <w:sz w:val="24"/>
          <w:szCs w:val="24"/>
        </w:rPr>
        <w:t>3</w:t>
      </w:r>
      <w:r w:rsidR="00D16E3E" w:rsidRPr="005F5053">
        <w:rPr>
          <w:rFonts w:ascii="Arial" w:eastAsia="Times New Roman" w:hAnsi="Arial" w:cs="Arial"/>
          <w:b/>
          <w:bCs/>
          <w:sz w:val="24"/>
          <w:szCs w:val="24"/>
        </w:rPr>
        <w:t>95</w:t>
      </w:r>
    </w:p>
    <w:p w:rsidR="00FF1348" w:rsidRPr="005F5053" w:rsidRDefault="00F515CF" w:rsidP="00D16E3E">
      <w:pPr>
        <w:spacing w:after="0" w:line="240" w:lineRule="auto"/>
        <w:rPr>
          <w:rFonts w:ascii="Arial" w:eastAsia="Times New Roman" w:hAnsi="Arial" w:cs="Arial"/>
          <w:sz w:val="24"/>
          <w:szCs w:val="24"/>
        </w:rPr>
      </w:pPr>
      <w:r w:rsidRPr="005F5053">
        <w:rPr>
          <w:rFonts w:ascii="Arial" w:eastAsia="Times New Roman" w:hAnsi="Arial" w:cs="Arial"/>
          <w:sz w:val="24"/>
          <w:szCs w:val="24"/>
        </w:rPr>
        <w:t> </w:t>
      </w:r>
    </w:p>
    <w:p w:rsidR="002355A7" w:rsidRPr="005F5053" w:rsidRDefault="00687C52" w:rsidP="00D16E3E">
      <w:pPr>
        <w:spacing w:after="0" w:line="240" w:lineRule="auto"/>
        <w:rPr>
          <w:rFonts w:ascii="Arial" w:eastAsia="Times New Roman" w:hAnsi="Arial" w:cs="Arial"/>
          <w:b/>
          <w:bCs/>
          <w:sz w:val="24"/>
          <w:szCs w:val="24"/>
          <w:u w:val="single"/>
        </w:rPr>
      </w:pPr>
      <w:r w:rsidRPr="005F5053">
        <w:rPr>
          <w:rFonts w:ascii="Arial" w:eastAsia="Times New Roman" w:hAnsi="Arial" w:cs="Arial"/>
          <w:b/>
          <w:bCs/>
          <w:sz w:val="24"/>
          <w:szCs w:val="24"/>
          <w:u w:val="single"/>
        </w:rPr>
        <w:t>IN</w:t>
      </w:r>
      <w:r w:rsidR="0021572E" w:rsidRPr="005F5053">
        <w:rPr>
          <w:rFonts w:ascii="Arial" w:eastAsia="Times New Roman" w:hAnsi="Arial" w:cs="Arial"/>
          <w:b/>
          <w:bCs/>
          <w:sz w:val="24"/>
          <w:szCs w:val="24"/>
          <w:u w:val="single"/>
        </w:rPr>
        <w:t xml:space="preserve">TERNAL QUESTION PAPER [No </w:t>
      </w:r>
      <w:r w:rsidR="00AA7EF8" w:rsidRPr="005F5053">
        <w:rPr>
          <w:rFonts w:ascii="Arial" w:eastAsia="Times New Roman" w:hAnsi="Arial" w:cs="Arial"/>
          <w:b/>
          <w:bCs/>
          <w:sz w:val="24"/>
          <w:szCs w:val="24"/>
          <w:u w:val="single"/>
        </w:rPr>
        <w:t>9</w:t>
      </w:r>
      <w:r w:rsidR="0031187C" w:rsidRPr="005F5053">
        <w:rPr>
          <w:rFonts w:ascii="Arial" w:eastAsia="Times New Roman" w:hAnsi="Arial" w:cs="Arial"/>
          <w:b/>
          <w:bCs/>
          <w:sz w:val="24"/>
          <w:szCs w:val="24"/>
          <w:u w:val="single"/>
        </w:rPr>
        <w:t>-20</w:t>
      </w:r>
      <w:r w:rsidR="004A6DEA" w:rsidRPr="005F5053">
        <w:rPr>
          <w:rFonts w:ascii="Arial" w:eastAsia="Times New Roman" w:hAnsi="Arial" w:cs="Arial"/>
          <w:b/>
          <w:bCs/>
          <w:sz w:val="24"/>
          <w:szCs w:val="24"/>
          <w:u w:val="single"/>
        </w:rPr>
        <w:t>20</w:t>
      </w:r>
      <w:r w:rsidR="00E36039" w:rsidRPr="005F5053">
        <w:rPr>
          <w:rFonts w:ascii="Arial" w:eastAsia="Times New Roman" w:hAnsi="Arial" w:cs="Arial"/>
          <w:b/>
          <w:bCs/>
          <w:sz w:val="24"/>
          <w:szCs w:val="24"/>
          <w:u w:val="single"/>
        </w:rPr>
        <w:t>SIXTH</w:t>
      </w:r>
      <w:r w:rsidR="005F30F3" w:rsidRPr="005F5053">
        <w:rPr>
          <w:rFonts w:ascii="Arial" w:eastAsia="Times New Roman" w:hAnsi="Arial" w:cs="Arial"/>
          <w:b/>
          <w:bCs/>
          <w:sz w:val="24"/>
          <w:szCs w:val="24"/>
          <w:u w:val="single"/>
        </w:rPr>
        <w:t xml:space="preserve"> PARLIAMENT</w:t>
      </w:r>
      <w:r w:rsidR="00F515CF" w:rsidRPr="005F5053">
        <w:rPr>
          <w:rFonts w:ascii="Arial" w:eastAsia="Times New Roman" w:hAnsi="Arial" w:cs="Arial"/>
          <w:b/>
          <w:bCs/>
          <w:sz w:val="24"/>
          <w:szCs w:val="24"/>
          <w:u w:val="single"/>
        </w:rPr>
        <w:t>]</w:t>
      </w:r>
      <w:r w:rsidR="00F515CF" w:rsidRPr="005F5053">
        <w:rPr>
          <w:rFonts w:ascii="Arial" w:eastAsia="Times New Roman" w:hAnsi="Arial" w:cs="Arial"/>
          <w:b/>
          <w:bCs/>
          <w:sz w:val="24"/>
          <w:szCs w:val="24"/>
          <w:u w:val="single"/>
        </w:rPr>
        <w:br/>
      </w:r>
      <w:r w:rsidR="00F83BBF" w:rsidRPr="005F5053">
        <w:rPr>
          <w:rFonts w:ascii="Arial" w:eastAsia="Times New Roman" w:hAnsi="Arial" w:cs="Arial"/>
          <w:b/>
          <w:bCs/>
          <w:sz w:val="24"/>
          <w:szCs w:val="24"/>
          <w:u w:val="single"/>
        </w:rPr>
        <w:t>DATE OF PUBLICATION: </w:t>
      </w:r>
      <w:r w:rsidR="00AA7EF8" w:rsidRPr="005F5053">
        <w:rPr>
          <w:rFonts w:ascii="Arial" w:eastAsia="Times New Roman" w:hAnsi="Arial" w:cs="Arial"/>
          <w:b/>
          <w:bCs/>
          <w:sz w:val="24"/>
          <w:szCs w:val="24"/>
          <w:u w:val="single"/>
        </w:rPr>
        <w:t>13</w:t>
      </w:r>
      <w:r w:rsidR="00850FCB" w:rsidRPr="005F5053">
        <w:rPr>
          <w:rFonts w:ascii="Arial" w:eastAsia="Times New Roman" w:hAnsi="Arial" w:cs="Arial"/>
          <w:b/>
          <w:bCs/>
          <w:sz w:val="24"/>
          <w:szCs w:val="24"/>
          <w:u w:val="single"/>
        </w:rPr>
        <w:t>MARCH</w:t>
      </w:r>
      <w:r w:rsidR="00F515CF" w:rsidRPr="005F5053">
        <w:rPr>
          <w:rFonts w:ascii="Arial" w:eastAsia="Times New Roman" w:hAnsi="Arial" w:cs="Arial"/>
          <w:b/>
          <w:bCs/>
          <w:sz w:val="24"/>
          <w:szCs w:val="24"/>
          <w:u w:val="single"/>
        </w:rPr>
        <w:t> 20</w:t>
      </w:r>
      <w:r w:rsidR="004A6DEA" w:rsidRPr="005F5053">
        <w:rPr>
          <w:rFonts w:ascii="Arial" w:eastAsia="Times New Roman" w:hAnsi="Arial" w:cs="Arial"/>
          <w:b/>
          <w:bCs/>
          <w:sz w:val="24"/>
          <w:szCs w:val="24"/>
          <w:u w:val="single"/>
        </w:rPr>
        <w:t>20</w:t>
      </w:r>
    </w:p>
    <w:p w:rsidR="00AA7EF8" w:rsidRPr="005F5053" w:rsidRDefault="00AA7EF8" w:rsidP="00D16E3E">
      <w:pPr>
        <w:spacing w:after="0" w:line="240" w:lineRule="auto"/>
        <w:ind w:left="720" w:hanging="720"/>
        <w:jc w:val="both"/>
        <w:outlineLvl w:val="0"/>
        <w:rPr>
          <w:rFonts w:ascii="Arial" w:hAnsi="Arial" w:cs="Arial"/>
          <w:b/>
          <w:bCs/>
          <w:sz w:val="24"/>
          <w:szCs w:val="24"/>
        </w:rPr>
      </w:pPr>
    </w:p>
    <w:p w:rsidR="00D16E3E" w:rsidRPr="005F5053" w:rsidRDefault="00D16E3E" w:rsidP="00D16E3E">
      <w:pPr>
        <w:spacing w:after="0" w:line="240" w:lineRule="auto"/>
        <w:ind w:left="567" w:hanging="567"/>
        <w:jc w:val="both"/>
        <w:outlineLvl w:val="0"/>
        <w:rPr>
          <w:rFonts w:ascii="Arial" w:eastAsia="Times New Roman" w:hAnsi="Arial" w:cs="Arial"/>
          <w:b/>
          <w:sz w:val="24"/>
          <w:szCs w:val="24"/>
          <w:lang w:val="en-US"/>
        </w:rPr>
      </w:pPr>
      <w:r w:rsidRPr="005F5053">
        <w:rPr>
          <w:rFonts w:ascii="Arial" w:hAnsi="Arial" w:cs="Arial"/>
          <w:b/>
          <w:bCs/>
          <w:sz w:val="24"/>
          <w:szCs w:val="24"/>
        </w:rPr>
        <w:t xml:space="preserve">395. </w:t>
      </w:r>
      <w:r w:rsidRPr="005F5053">
        <w:rPr>
          <w:rFonts w:ascii="Arial" w:hAnsi="Arial" w:cs="Arial"/>
          <w:b/>
          <w:bCs/>
          <w:sz w:val="24"/>
          <w:szCs w:val="24"/>
        </w:rPr>
        <w:tab/>
      </w:r>
      <w:proofErr w:type="spellStart"/>
      <w:r w:rsidRPr="005F5053">
        <w:rPr>
          <w:rFonts w:ascii="Arial" w:eastAsia="Times New Roman" w:hAnsi="Arial" w:cs="Arial"/>
          <w:b/>
          <w:sz w:val="24"/>
          <w:szCs w:val="24"/>
          <w:lang w:val="en-US"/>
        </w:rPr>
        <w:t>Mrs</w:t>
      </w:r>
      <w:proofErr w:type="spellEnd"/>
      <w:r w:rsidRPr="005F5053">
        <w:rPr>
          <w:rFonts w:ascii="Arial" w:eastAsia="Times New Roman" w:hAnsi="Arial" w:cs="Arial"/>
          <w:b/>
          <w:sz w:val="24"/>
          <w:szCs w:val="24"/>
          <w:lang w:val="en-US"/>
        </w:rPr>
        <w:t xml:space="preserve"> A Steyn (DA) to ask the Minister of Agriculture, Land Reform and Rural Development</w:t>
      </w:r>
      <w:r w:rsidR="00397CA7" w:rsidRPr="005F5053">
        <w:rPr>
          <w:rFonts w:ascii="Arial" w:eastAsia="Times New Roman" w:hAnsi="Arial" w:cs="Arial"/>
          <w:b/>
          <w:sz w:val="24"/>
          <w:szCs w:val="24"/>
          <w:lang w:val="en-US"/>
        </w:rPr>
        <w:fldChar w:fldCharType="begin"/>
      </w:r>
      <w:r w:rsidRPr="005F5053">
        <w:rPr>
          <w:rFonts w:ascii="Arial" w:hAnsi="Arial" w:cs="Arial"/>
          <w:sz w:val="24"/>
          <w:szCs w:val="24"/>
        </w:rPr>
        <w:instrText xml:space="preserve"> XE "</w:instrText>
      </w:r>
      <w:r w:rsidRPr="005F5053">
        <w:rPr>
          <w:rFonts w:ascii="Arial" w:eastAsia="Times New Roman" w:hAnsi="Arial" w:cs="Arial"/>
          <w:b/>
          <w:sz w:val="24"/>
          <w:szCs w:val="24"/>
          <w:lang w:val="en-US"/>
        </w:rPr>
        <w:instrText>Agriculture, Land Reform and Rural Development</w:instrText>
      </w:r>
      <w:r w:rsidRPr="005F5053">
        <w:rPr>
          <w:rFonts w:ascii="Arial" w:hAnsi="Arial" w:cs="Arial"/>
          <w:sz w:val="24"/>
          <w:szCs w:val="24"/>
        </w:rPr>
        <w:instrText xml:space="preserve">" </w:instrText>
      </w:r>
      <w:r w:rsidR="00397CA7" w:rsidRPr="005F5053">
        <w:rPr>
          <w:rFonts w:ascii="Arial" w:eastAsia="Times New Roman" w:hAnsi="Arial" w:cs="Arial"/>
          <w:b/>
          <w:sz w:val="24"/>
          <w:szCs w:val="24"/>
          <w:lang w:val="en-US"/>
        </w:rPr>
        <w:fldChar w:fldCharType="end"/>
      </w:r>
      <w:r w:rsidRPr="005F5053">
        <w:rPr>
          <w:rFonts w:ascii="Arial" w:eastAsia="Times New Roman" w:hAnsi="Arial" w:cs="Arial"/>
          <w:b/>
          <w:sz w:val="24"/>
          <w:szCs w:val="24"/>
          <w:lang w:val="en-US"/>
        </w:rPr>
        <w:t>:</w:t>
      </w:r>
    </w:p>
    <w:p w:rsidR="00D16E3E" w:rsidRPr="005F5053" w:rsidRDefault="00D16E3E" w:rsidP="00D16E3E">
      <w:pPr>
        <w:spacing w:after="0" w:line="240" w:lineRule="auto"/>
        <w:ind w:left="720" w:hanging="720"/>
        <w:jc w:val="both"/>
        <w:outlineLvl w:val="0"/>
        <w:rPr>
          <w:rFonts w:ascii="Arial" w:eastAsia="Times New Roman" w:hAnsi="Arial" w:cs="Arial"/>
          <w:sz w:val="24"/>
          <w:szCs w:val="24"/>
          <w:lang w:val="en-US"/>
        </w:rPr>
      </w:pPr>
    </w:p>
    <w:p w:rsidR="00D16E3E" w:rsidRPr="005F5053" w:rsidRDefault="00D16E3E" w:rsidP="00D16E3E">
      <w:pPr>
        <w:pStyle w:val="ListParagraph"/>
        <w:numPr>
          <w:ilvl w:val="0"/>
          <w:numId w:val="7"/>
        </w:numPr>
        <w:spacing w:after="0" w:line="240" w:lineRule="auto"/>
        <w:ind w:left="567" w:hanging="567"/>
        <w:jc w:val="both"/>
        <w:rPr>
          <w:rFonts w:ascii="Arial" w:hAnsi="Arial" w:cs="Arial"/>
          <w:sz w:val="24"/>
          <w:szCs w:val="24"/>
        </w:rPr>
      </w:pPr>
      <w:r w:rsidRPr="005F5053">
        <w:rPr>
          <w:rFonts w:ascii="Arial" w:hAnsi="Arial" w:cs="Arial"/>
          <w:sz w:val="24"/>
          <w:szCs w:val="24"/>
        </w:rPr>
        <w:t xml:space="preserve">Whether any amount was paid over to the Community Property Association and Trust as part of the land claims on behalf of the </w:t>
      </w:r>
      <w:proofErr w:type="spellStart"/>
      <w:r w:rsidRPr="005F5053">
        <w:rPr>
          <w:rFonts w:ascii="Arial" w:hAnsi="Arial" w:cs="Arial"/>
          <w:sz w:val="24"/>
          <w:szCs w:val="24"/>
        </w:rPr>
        <w:t>Ebenhaezer</w:t>
      </w:r>
      <w:proofErr w:type="spellEnd"/>
      <w:r w:rsidRPr="005F5053">
        <w:rPr>
          <w:rFonts w:ascii="Arial" w:hAnsi="Arial" w:cs="Arial"/>
          <w:sz w:val="24"/>
          <w:szCs w:val="24"/>
        </w:rPr>
        <w:t xml:space="preserve">, </w:t>
      </w:r>
      <w:proofErr w:type="spellStart"/>
      <w:r w:rsidRPr="005F5053">
        <w:rPr>
          <w:rFonts w:ascii="Arial" w:hAnsi="Arial" w:cs="Arial"/>
          <w:sz w:val="24"/>
          <w:szCs w:val="24"/>
        </w:rPr>
        <w:t>Vaalplaas</w:t>
      </w:r>
      <w:proofErr w:type="spellEnd"/>
      <w:r w:rsidRPr="005F5053">
        <w:rPr>
          <w:rFonts w:ascii="Arial" w:hAnsi="Arial" w:cs="Arial"/>
          <w:sz w:val="24"/>
          <w:szCs w:val="24"/>
        </w:rPr>
        <w:t xml:space="preserve"> and </w:t>
      </w:r>
      <w:proofErr w:type="spellStart"/>
      <w:r w:rsidRPr="005F5053">
        <w:rPr>
          <w:rFonts w:ascii="Arial" w:hAnsi="Arial" w:cs="Arial"/>
          <w:sz w:val="24"/>
          <w:szCs w:val="24"/>
        </w:rPr>
        <w:t>Beeswater</w:t>
      </w:r>
      <w:proofErr w:type="spellEnd"/>
      <w:r w:rsidRPr="005F5053">
        <w:rPr>
          <w:rFonts w:ascii="Arial" w:hAnsi="Arial" w:cs="Arial"/>
          <w:sz w:val="24"/>
          <w:szCs w:val="24"/>
        </w:rPr>
        <w:t xml:space="preserve"> Communities in the Western Cape; if so, (a) will any further amounts be paid over and (b) what (</w:t>
      </w:r>
      <w:proofErr w:type="spellStart"/>
      <w:r w:rsidRPr="005F5053">
        <w:rPr>
          <w:rFonts w:ascii="Arial" w:hAnsi="Arial" w:cs="Arial"/>
          <w:sz w:val="24"/>
          <w:szCs w:val="24"/>
        </w:rPr>
        <w:t>i</w:t>
      </w:r>
      <w:proofErr w:type="spellEnd"/>
      <w:r w:rsidRPr="005F5053">
        <w:rPr>
          <w:rFonts w:ascii="Arial" w:hAnsi="Arial" w:cs="Arial"/>
          <w:sz w:val="24"/>
          <w:szCs w:val="24"/>
        </w:rPr>
        <w:t>) amount(s) and (ii) dates are envisaged for this transfer;</w:t>
      </w:r>
    </w:p>
    <w:p w:rsidR="00D16E3E" w:rsidRPr="005F5053" w:rsidRDefault="00D16E3E" w:rsidP="00D16E3E">
      <w:pPr>
        <w:pStyle w:val="ListParagraph"/>
        <w:spacing w:after="0" w:line="240" w:lineRule="auto"/>
        <w:ind w:left="1440"/>
        <w:jc w:val="both"/>
        <w:rPr>
          <w:rFonts w:ascii="Arial" w:hAnsi="Arial" w:cs="Arial"/>
          <w:sz w:val="24"/>
          <w:szCs w:val="24"/>
        </w:rPr>
      </w:pPr>
    </w:p>
    <w:p w:rsidR="00D16E3E" w:rsidRPr="005F5053" w:rsidRDefault="00D16E3E" w:rsidP="00D16E3E">
      <w:pPr>
        <w:pStyle w:val="ListParagraph"/>
        <w:numPr>
          <w:ilvl w:val="0"/>
          <w:numId w:val="7"/>
        </w:numPr>
        <w:spacing w:after="0" w:line="240" w:lineRule="auto"/>
        <w:ind w:left="567" w:hanging="567"/>
        <w:jc w:val="both"/>
        <w:rPr>
          <w:rFonts w:ascii="Arial" w:hAnsi="Arial" w:cs="Arial"/>
          <w:sz w:val="24"/>
          <w:szCs w:val="24"/>
        </w:rPr>
      </w:pPr>
      <w:r w:rsidRPr="005F5053">
        <w:rPr>
          <w:rFonts w:ascii="Arial" w:hAnsi="Arial" w:cs="Arial"/>
          <w:sz w:val="24"/>
          <w:szCs w:val="24"/>
        </w:rPr>
        <w:t>has her department found that (a) previous payments were utilised by the trustees in line with the goals set for land reform and (b) the necessary checks and balances are in place to ensure that future transfers will also adhere to the goals set;</w:t>
      </w:r>
    </w:p>
    <w:p w:rsidR="00D16E3E" w:rsidRPr="005F5053" w:rsidRDefault="00D16E3E" w:rsidP="00D16E3E">
      <w:pPr>
        <w:spacing w:after="0" w:line="240" w:lineRule="auto"/>
        <w:jc w:val="both"/>
        <w:rPr>
          <w:rFonts w:ascii="Arial" w:hAnsi="Arial" w:cs="Arial"/>
          <w:sz w:val="24"/>
          <w:szCs w:val="24"/>
        </w:rPr>
      </w:pPr>
    </w:p>
    <w:p w:rsidR="00B80FC4" w:rsidRDefault="00D16E3E" w:rsidP="00D16E3E">
      <w:pPr>
        <w:spacing w:after="0" w:line="240" w:lineRule="auto"/>
        <w:ind w:left="567" w:hanging="567"/>
        <w:jc w:val="both"/>
        <w:rPr>
          <w:rFonts w:ascii="Arial" w:hAnsi="Arial" w:cs="Arial"/>
          <w:sz w:val="24"/>
          <w:szCs w:val="24"/>
        </w:rPr>
      </w:pPr>
      <w:r w:rsidRPr="005F5053">
        <w:rPr>
          <w:rFonts w:ascii="Arial" w:hAnsi="Arial" w:cs="Arial"/>
          <w:sz w:val="24"/>
          <w:szCs w:val="24"/>
        </w:rPr>
        <w:t>(3)</w:t>
      </w:r>
      <w:r w:rsidRPr="005F5053">
        <w:rPr>
          <w:rFonts w:ascii="Arial" w:hAnsi="Arial" w:cs="Arial"/>
          <w:sz w:val="24"/>
          <w:szCs w:val="24"/>
        </w:rPr>
        <w:tab/>
        <w:t xml:space="preserve">what (a) are the details of the checks and balances that are in place to ensure that the land and/or money is used in accordance with the aims of land reform and </w:t>
      </w:r>
    </w:p>
    <w:p w:rsidR="00D16E3E" w:rsidRPr="005F5053" w:rsidRDefault="00D16E3E" w:rsidP="00D16E3E">
      <w:pPr>
        <w:spacing w:after="0" w:line="240" w:lineRule="auto"/>
        <w:ind w:left="567" w:hanging="567"/>
        <w:jc w:val="both"/>
        <w:rPr>
          <w:rFonts w:ascii="Arial" w:hAnsi="Arial" w:cs="Arial"/>
          <w:sz w:val="24"/>
          <w:szCs w:val="24"/>
        </w:rPr>
      </w:pPr>
      <w:r w:rsidRPr="005F5053">
        <w:rPr>
          <w:rFonts w:ascii="Arial" w:hAnsi="Arial" w:cs="Arial"/>
          <w:sz w:val="24"/>
          <w:szCs w:val="24"/>
        </w:rPr>
        <w:t xml:space="preserve">(b) steps </w:t>
      </w:r>
      <w:proofErr w:type="gramStart"/>
      <w:r w:rsidRPr="005F5053">
        <w:rPr>
          <w:rFonts w:ascii="Arial" w:hAnsi="Arial" w:cs="Arial"/>
          <w:sz w:val="24"/>
          <w:szCs w:val="24"/>
        </w:rPr>
        <w:t>has</w:t>
      </w:r>
      <w:proofErr w:type="gramEnd"/>
      <w:r w:rsidRPr="005F5053">
        <w:rPr>
          <w:rFonts w:ascii="Arial" w:hAnsi="Arial" w:cs="Arial"/>
          <w:sz w:val="24"/>
          <w:szCs w:val="24"/>
        </w:rPr>
        <w:t xml:space="preserve"> her department taken to ensure that the checks and balances are indeed functional?       </w:t>
      </w:r>
      <w:r w:rsidR="005F5053">
        <w:rPr>
          <w:rFonts w:ascii="Arial" w:hAnsi="Arial" w:cs="Arial"/>
          <w:sz w:val="24"/>
          <w:szCs w:val="24"/>
        </w:rPr>
        <w:tab/>
      </w:r>
      <w:r w:rsidR="005F5053">
        <w:rPr>
          <w:rFonts w:ascii="Arial" w:hAnsi="Arial" w:cs="Arial"/>
          <w:sz w:val="24"/>
          <w:szCs w:val="24"/>
        </w:rPr>
        <w:tab/>
      </w:r>
      <w:r w:rsidR="005F5053">
        <w:rPr>
          <w:rFonts w:ascii="Arial" w:hAnsi="Arial" w:cs="Arial"/>
          <w:sz w:val="24"/>
          <w:szCs w:val="24"/>
        </w:rPr>
        <w:tab/>
      </w:r>
      <w:r w:rsidR="005F5053">
        <w:rPr>
          <w:rFonts w:ascii="Arial" w:hAnsi="Arial" w:cs="Arial"/>
          <w:sz w:val="24"/>
          <w:szCs w:val="24"/>
        </w:rPr>
        <w:tab/>
      </w:r>
      <w:r w:rsidR="005F5053">
        <w:rPr>
          <w:rFonts w:ascii="Arial" w:hAnsi="Arial" w:cs="Arial"/>
          <w:sz w:val="24"/>
          <w:szCs w:val="24"/>
        </w:rPr>
        <w:tab/>
      </w:r>
      <w:r w:rsidR="005F5053">
        <w:rPr>
          <w:rFonts w:ascii="Arial" w:hAnsi="Arial" w:cs="Arial"/>
          <w:sz w:val="24"/>
          <w:szCs w:val="24"/>
        </w:rPr>
        <w:tab/>
      </w:r>
      <w:r w:rsidR="005F5053">
        <w:rPr>
          <w:rFonts w:ascii="Arial" w:hAnsi="Arial" w:cs="Arial"/>
          <w:sz w:val="24"/>
          <w:szCs w:val="24"/>
        </w:rPr>
        <w:tab/>
      </w:r>
      <w:r w:rsidRPr="005F5053">
        <w:rPr>
          <w:rFonts w:ascii="Arial" w:eastAsia="Times New Roman" w:hAnsi="Arial" w:cs="Arial"/>
          <w:b/>
          <w:color w:val="000000" w:themeColor="text1"/>
          <w:sz w:val="24"/>
          <w:szCs w:val="24"/>
          <w:lang w:val="en-US"/>
        </w:rPr>
        <w:t>NW574E</w:t>
      </w:r>
    </w:p>
    <w:p w:rsidR="009A133D" w:rsidRPr="005F5053" w:rsidRDefault="009A133D" w:rsidP="00D16E3E">
      <w:pPr>
        <w:spacing w:after="0" w:line="240" w:lineRule="auto"/>
        <w:jc w:val="both"/>
        <w:rPr>
          <w:rFonts w:ascii="Arial" w:hAnsi="Arial" w:cs="Arial"/>
          <w:b/>
          <w:sz w:val="24"/>
          <w:szCs w:val="24"/>
        </w:rPr>
      </w:pPr>
      <w:bookmarkStart w:id="0" w:name="_GoBack"/>
      <w:bookmarkEnd w:id="0"/>
    </w:p>
    <w:p w:rsidR="009A133D" w:rsidRPr="005F5053" w:rsidRDefault="009A133D" w:rsidP="00D16E3E">
      <w:pPr>
        <w:spacing w:after="0" w:line="240" w:lineRule="auto"/>
        <w:jc w:val="both"/>
        <w:rPr>
          <w:rFonts w:ascii="Arial" w:hAnsi="Arial" w:cs="Arial"/>
          <w:b/>
          <w:sz w:val="24"/>
          <w:szCs w:val="24"/>
        </w:rPr>
      </w:pPr>
    </w:p>
    <w:p w:rsidR="00E433A8" w:rsidRPr="009A133D" w:rsidRDefault="00E433A8" w:rsidP="00D16E3E">
      <w:pPr>
        <w:spacing w:after="0" w:line="240" w:lineRule="auto"/>
        <w:jc w:val="both"/>
        <w:rPr>
          <w:rFonts w:ascii="Arial" w:eastAsia="Times New Roman" w:hAnsi="Arial" w:cs="Arial"/>
          <w:sz w:val="24"/>
          <w:szCs w:val="24"/>
          <w:lang w:val="en-US"/>
        </w:rPr>
      </w:pPr>
      <w:r w:rsidRPr="005F5053">
        <w:rPr>
          <w:rFonts w:ascii="Arial" w:hAnsi="Arial" w:cs="Arial"/>
          <w:b/>
          <w:sz w:val="24"/>
          <w:szCs w:val="24"/>
        </w:rPr>
        <w:t xml:space="preserve">THE </w:t>
      </w:r>
      <w:r w:rsidR="00E36039" w:rsidRPr="005F5053">
        <w:rPr>
          <w:rFonts w:ascii="Arial" w:hAnsi="Arial" w:cs="Arial"/>
          <w:b/>
          <w:sz w:val="24"/>
          <w:szCs w:val="24"/>
        </w:rPr>
        <w:t>MINISTER OF AGRICULTURE, LAND REFORM AND RURAL DEVELOPMENT</w:t>
      </w:r>
      <w:r w:rsidRPr="009A133D">
        <w:rPr>
          <w:rFonts w:ascii="Arial" w:hAnsi="Arial" w:cs="Arial"/>
          <w:b/>
          <w:sz w:val="24"/>
          <w:szCs w:val="24"/>
        </w:rPr>
        <w:t>:</w:t>
      </w:r>
    </w:p>
    <w:p w:rsidR="00E433A8" w:rsidRPr="00E42887" w:rsidRDefault="00E433A8" w:rsidP="00B01282">
      <w:pPr>
        <w:pStyle w:val="NoSpacing"/>
        <w:jc w:val="both"/>
        <w:rPr>
          <w:rFonts w:ascii="Arial" w:hAnsi="Arial" w:cs="Arial"/>
          <w:sz w:val="24"/>
          <w:szCs w:val="24"/>
        </w:rPr>
      </w:pPr>
    </w:p>
    <w:p w:rsidR="00E42887" w:rsidRDefault="00E42887" w:rsidP="00FA46DF">
      <w:pPr>
        <w:pStyle w:val="NoSpacing"/>
        <w:numPr>
          <w:ilvl w:val="0"/>
          <w:numId w:val="10"/>
        </w:numPr>
        <w:tabs>
          <w:tab w:val="left" w:pos="142"/>
        </w:tabs>
        <w:jc w:val="both"/>
        <w:rPr>
          <w:rFonts w:ascii="Arial" w:hAnsi="Arial" w:cs="Arial"/>
          <w:sz w:val="24"/>
          <w:szCs w:val="24"/>
        </w:rPr>
      </w:pPr>
      <w:r w:rsidRPr="00E42887">
        <w:rPr>
          <w:rFonts w:ascii="Arial" w:hAnsi="Arial" w:cs="Arial"/>
          <w:sz w:val="24"/>
          <w:szCs w:val="24"/>
        </w:rPr>
        <w:t xml:space="preserve">An amount of R19,914,060.00 (Nineteen Million Nine Hundred Fourteen Thousand and Sixty Rand) was paid over to the </w:t>
      </w:r>
      <w:proofErr w:type="spellStart"/>
      <w:r w:rsidRPr="00E42887">
        <w:rPr>
          <w:rFonts w:ascii="Arial" w:hAnsi="Arial" w:cs="Arial"/>
          <w:sz w:val="24"/>
          <w:szCs w:val="24"/>
        </w:rPr>
        <w:t>Ebenhaeser</w:t>
      </w:r>
      <w:proofErr w:type="spellEnd"/>
      <w:r w:rsidRPr="00E42887">
        <w:rPr>
          <w:rFonts w:ascii="Arial" w:hAnsi="Arial" w:cs="Arial"/>
          <w:sz w:val="24"/>
          <w:szCs w:val="24"/>
        </w:rPr>
        <w:t xml:space="preserve"> Trust as the business arm of the CPA in terms of section 42C of the Restitution of Land Rights Act,22 of 194 as amended and in pursuance of the Settlement Agreement entered between the Minister, </w:t>
      </w:r>
      <w:proofErr w:type="spellStart"/>
      <w:r w:rsidRPr="00E42887">
        <w:rPr>
          <w:rFonts w:ascii="Arial" w:hAnsi="Arial" w:cs="Arial"/>
          <w:sz w:val="24"/>
          <w:szCs w:val="24"/>
        </w:rPr>
        <w:t>Ebenhaeser</w:t>
      </w:r>
      <w:proofErr w:type="spellEnd"/>
      <w:r w:rsidRPr="00E42887">
        <w:rPr>
          <w:rFonts w:ascii="Arial" w:hAnsi="Arial" w:cs="Arial"/>
          <w:sz w:val="24"/>
          <w:szCs w:val="24"/>
        </w:rPr>
        <w:t xml:space="preserve"> CPA and the Commission on Restitution. No amounts have been paid over to the </w:t>
      </w:r>
      <w:proofErr w:type="spellStart"/>
      <w:r w:rsidRPr="00E42887">
        <w:rPr>
          <w:rFonts w:ascii="Arial" w:hAnsi="Arial" w:cs="Arial"/>
          <w:sz w:val="24"/>
          <w:szCs w:val="24"/>
        </w:rPr>
        <w:t>Vaalplaas</w:t>
      </w:r>
      <w:proofErr w:type="spellEnd"/>
      <w:r w:rsidRPr="00E42887">
        <w:rPr>
          <w:rFonts w:ascii="Arial" w:hAnsi="Arial" w:cs="Arial"/>
          <w:sz w:val="24"/>
          <w:szCs w:val="24"/>
        </w:rPr>
        <w:t xml:space="preserve"> and </w:t>
      </w:r>
      <w:proofErr w:type="spellStart"/>
      <w:r w:rsidRPr="00E42887">
        <w:rPr>
          <w:rFonts w:ascii="Arial" w:hAnsi="Arial" w:cs="Arial"/>
          <w:sz w:val="24"/>
          <w:szCs w:val="24"/>
        </w:rPr>
        <w:t>Beeswater</w:t>
      </w:r>
      <w:proofErr w:type="spellEnd"/>
      <w:r w:rsidRPr="00E42887">
        <w:rPr>
          <w:rFonts w:ascii="Arial" w:hAnsi="Arial" w:cs="Arial"/>
          <w:sz w:val="24"/>
          <w:szCs w:val="24"/>
        </w:rPr>
        <w:t xml:space="preserve"> communities.</w:t>
      </w:r>
    </w:p>
    <w:p w:rsidR="00FA46DF" w:rsidRPr="00E42887" w:rsidRDefault="00FA46DF" w:rsidP="00FA46DF">
      <w:pPr>
        <w:pStyle w:val="NoSpacing"/>
        <w:tabs>
          <w:tab w:val="left" w:pos="142"/>
        </w:tabs>
        <w:ind w:left="644"/>
        <w:jc w:val="both"/>
        <w:rPr>
          <w:rFonts w:ascii="Arial" w:hAnsi="Arial" w:cs="Arial"/>
          <w:sz w:val="24"/>
          <w:szCs w:val="24"/>
        </w:rPr>
      </w:pPr>
    </w:p>
    <w:p w:rsidR="00E42887" w:rsidRDefault="00E42887" w:rsidP="00E42887">
      <w:pPr>
        <w:pStyle w:val="NoSpacing"/>
        <w:tabs>
          <w:tab w:val="left" w:pos="142"/>
        </w:tabs>
        <w:ind w:left="709"/>
        <w:jc w:val="both"/>
        <w:rPr>
          <w:rFonts w:ascii="Arial" w:hAnsi="Arial" w:cs="Arial"/>
          <w:sz w:val="24"/>
          <w:szCs w:val="24"/>
        </w:rPr>
      </w:pPr>
      <w:r w:rsidRPr="00E42887">
        <w:rPr>
          <w:rFonts w:ascii="Arial" w:hAnsi="Arial" w:cs="Arial"/>
          <w:sz w:val="24"/>
          <w:szCs w:val="24"/>
        </w:rPr>
        <w:t xml:space="preserve">(a) yes a further amount or tranche will be paid over to the </w:t>
      </w:r>
      <w:proofErr w:type="spellStart"/>
      <w:r w:rsidRPr="00E42887">
        <w:rPr>
          <w:rFonts w:ascii="Arial" w:hAnsi="Arial" w:cs="Arial"/>
          <w:sz w:val="24"/>
          <w:szCs w:val="24"/>
        </w:rPr>
        <w:t>Ebenhaeser</w:t>
      </w:r>
      <w:proofErr w:type="spellEnd"/>
      <w:r w:rsidRPr="00E42887">
        <w:rPr>
          <w:rFonts w:ascii="Arial" w:hAnsi="Arial" w:cs="Arial"/>
          <w:sz w:val="24"/>
          <w:szCs w:val="24"/>
        </w:rPr>
        <w:t xml:space="preserve"> Trust and </w:t>
      </w:r>
    </w:p>
    <w:p w:rsidR="000B7E81" w:rsidRPr="00E42887" w:rsidRDefault="00E42887" w:rsidP="00E42887">
      <w:pPr>
        <w:pStyle w:val="NoSpacing"/>
        <w:tabs>
          <w:tab w:val="left" w:pos="142"/>
        </w:tabs>
        <w:ind w:left="709"/>
        <w:jc w:val="both"/>
        <w:rPr>
          <w:rFonts w:ascii="Arial" w:hAnsi="Arial" w:cs="Arial"/>
          <w:sz w:val="24"/>
          <w:szCs w:val="24"/>
        </w:rPr>
      </w:pPr>
      <w:r w:rsidRPr="00E42887">
        <w:rPr>
          <w:rFonts w:ascii="Arial" w:hAnsi="Arial" w:cs="Arial"/>
          <w:sz w:val="24"/>
          <w:szCs w:val="24"/>
        </w:rPr>
        <w:t>(b) (</w:t>
      </w:r>
      <w:proofErr w:type="spellStart"/>
      <w:r w:rsidRPr="00E42887">
        <w:rPr>
          <w:rFonts w:ascii="Arial" w:hAnsi="Arial" w:cs="Arial"/>
          <w:sz w:val="24"/>
          <w:szCs w:val="24"/>
        </w:rPr>
        <w:t>i</w:t>
      </w:r>
      <w:proofErr w:type="spellEnd"/>
      <w:r w:rsidRPr="00E42887">
        <w:rPr>
          <w:rFonts w:ascii="Arial" w:hAnsi="Arial" w:cs="Arial"/>
          <w:sz w:val="24"/>
          <w:szCs w:val="24"/>
        </w:rPr>
        <w:t>) an amount of R45,366,940.00 (Forty Five Million Three Hundred Sixty Six Thousand Nine Hundred Forty Rand will be paid (ii)and will be transferred.</w:t>
      </w:r>
    </w:p>
    <w:p w:rsidR="00E42887" w:rsidRPr="00E42887" w:rsidRDefault="00E42887" w:rsidP="00E42887">
      <w:pPr>
        <w:pStyle w:val="NoSpacing"/>
        <w:tabs>
          <w:tab w:val="left" w:pos="142"/>
        </w:tabs>
        <w:jc w:val="both"/>
        <w:rPr>
          <w:rFonts w:ascii="Arial" w:hAnsi="Arial" w:cs="Arial"/>
          <w:sz w:val="24"/>
          <w:szCs w:val="24"/>
        </w:rPr>
      </w:pPr>
    </w:p>
    <w:p w:rsidR="00E42887" w:rsidRPr="00E42887" w:rsidRDefault="00E42887" w:rsidP="00E42887">
      <w:pPr>
        <w:pStyle w:val="NoSpacing"/>
        <w:numPr>
          <w:ilvl w:val="0"/>
          <w:numId w:val="8"/>
        </w:numPr>
        <w:tabs>
          <w:tab w:val="left" w:pos="142"/>
        </w:tabs>
        <w:jc w:val="both"/>
        <w:rPr>
          <w:rFonts w:ascii="Arial" w:hAnsi="Arial" w:cs="Arial"/>
          <w:sz w:val="24"/>
          <w:szCs w:val="24"/>
        </w:rPr>
      </w:pPr>
      <w:r w:rsidRPr="00E42887">
        <w:rPr>
          <w:rFonts w:ascii="Arial" w:hAnsi="Arial" w:cs="Arial"/>
          <w:sz w:val="24"/>
          <w:szCs w:val="24"/>
        </w:rPr>
        <w:t xml:space="preserve">(a) </w:t>
      </w:r>
      <w:r w:rsidR="005C7C6D">
        <w:rPr>
          <w:rFonts w:ascii="Arial" w:hAnsi="Arial" w:cs="Arial"/>
          <w:sz w:val="24"/>
          <w:szCs w:val="24"/>
        </w:rPr>
        <w:t>Y</w:t>
      </w:r>
      <w:r w:rsidRPr="00E42887">
        <w:rPr>
          <w:rFonts w:ascii="Arial" w:hAnsi="Arial" w:cs="Arial"/>
          <w:sz w:val="24"/>
          <w:szCs w:val="24"/>
        </w:rPr>
        <w:t>es</w:t>
      </w:r>
      <w:r w:rsidR="005C7C6D">
        <w:rPr>
          <w:rFonts w:ascii="Arial" w:hAnsi="Arial" w:cs="Arial"/>
          <w:sz w:val="24"/>
          <w:szCs w:val="24"/>
        </w:rPr>
        <w:t>,</w:t>
      </w:r>
      <w:r w:rsidRPr="00E42887">
        <w:rPr>
          <w:rFonts w:ascii="Arial" w:hAnsi="Arial" w:cs="Arial"/>
          <w:sz w:val="24"/>
          <w:szCs w:val="24"/>
        </w:rPr>
        <w:t xml:space="preserve"> previous payments were utilised by trustees in line with the goals set for land reform and (b) yes the necessary check and balances are in place to ensure that future transfers will adhere to goals set;</w:t>
      </w:r>
    </w:p>
    <w:p w:rsidR="00E42887" w:rsidRPr="00E42887" w:rsidRDefault="00E42887" w:rsidP="00E42887">
      <w:pPr>
        <w:pStyle w:val="NoSpacing"/>
        <w:tabs>
          <w:tab w:val="left" w:pos="142"/>
        </w:tabs>
        <w:jc w:val="both"/>
        <w:rPr>
          <w:rFonts w:ascii="Arial" w:hAnsi="Arial" w:cs="Arial"/>
          <w:sz w:val="24"/>
          <w:szCs w:val="24"/>
        </w:rPr>
      </w:pPr>
    </w:p>
    <w:p w:rsidR="00E42887" w:rsidRDefault="00E42887" w:rsidP="00E42887">
      <w:pPr>
        <w:pStyle w:val="NoSpacing"/>
        <w:numPr>
          <w:ilvl w:val="0"/>
          <w:numId w:val="8"/>
        </w:numPr>
        <w:tabs>
          <w:tab w:val="left" w:pos="142"/>
        </w:tabs>
        <w:jc w:val="both"/>
        <w:rPr>
          <w:rFonts w:ascii="Arial" w:hAnsi="Arial" w:cs="Arial"/>
          <w:sz w:val="24"/>
          <w:szCs w:val="24"/>
        </w:rPr>
      </w:pPr>
      <w:r w:rsidRPr="00E42887">
        <w:rPr>
          <w:rFonts w:ascii="Arial" w:hAnsi="Arial" w:cs="Arial"/>
          <w:sz w:val="24"/>
          <w:szCs w:val="24"/>
        </w:rPr>
        <w:t xml:space="preserve">(a) A Service Level Agreement (SLA) was signed between the Department and the </w:t>
      </w:r>
      <w:proofErr w:type="spellStart"/>
      <w:r w:rsidRPr="00E42887">
        <w:rPr>
          <w:rFonts w:ascii="Arial" w:hAnsi="Arial" w:cs="Arial"/>
          <w:sz w:val="24"/>
          <w:szCs w:val="24"/>
        </w:rPr>
        <w:t>Ebenhaeser</w:t>
      </w:r>
      <w:proofErr w:type="spellEnd"/>
      <w:r w:rsidRPr="00E42887">
        <w:rPr>
          <w:rFonts w:ascii="Arial" w:hAnsi="Arial" w:cs="Arial"/>
          <w:sz w:val="24"/>
          <w:szCs w:val="24"/>
        </w:rPr>
        <w:t xml:space="preserve"> Trust confirming the terms of engagement regarding the financial management, administration, and disbursement of funds allocated for post settlement and business support of the </w:t>
      </w:r>
      <w:proofErr w:type="spellStart"/>
      <w:r w:rsidRPr="00E42887">
        <w:rPr>
          <w:rFonts w:ascii="Arial" w:hAnsi="Arial" w:cs="Arial"/>
          <w:sz w:val="24"/>
          <w:szCs w:val="24"/>
        </w:rPr>
        <w:t>Ebenhaeser</w:t>
      </w:r>
      <w:proofErr w:type="spellEnd"/>
      <w:r w:rsidRPr="00E42887">
        <w:rPr>
          <w:rFonts w:ascii="Arial" w:hAnsi="Arial" w:cs="Arial"/>
          <w:sz w:val="24"/>
          <w:szCs w:val="24"/>
        </w:rPr>
        <w:t xml:space="preserve"> land claim;</w:t>
      </w:r>
    </w:p>
    <w:p w:rsidR="00FA46DF" w:rsidRDefault="00FA46DF" w:rsidP="00FA46DF">
      <w:pPr>
        <w:pStyle w:val="ListParagraph"/>
        <w:rPr>
          <w:rFonts w:ascii="Arial" w:hAnsi="Arial" w:cs="Arial"/>
          <w:sz w:val="24"/>
          <w:szCs w:val="24"/>
        </w:rPr>
      </w:pPr>
    </w:p>
    <w:p w:rsidR="00FA46DF" w:rsidRPr="00E42887" w:rsidRDefault="00FA46DF" w:rsidP="00FA46DF">
      <w:pPr>
        <w:pStyle w:val="NoSpacing"/>
        <w:tabs>
          <w:tab w:val="left" w:pos="142"/>
        </w:tabs>
        <w:ind w:left="720"/>
        <w:jc w:val="both"/>
        <w:rPr>
          <w:rFonts w:ascii="Arial" w:hAnsi="Arial" w:cs="Arial"/>
          <w:sz w:val="24"/>
          <w:szCs w:val="24"/>
        </w:rPr>
      </w:pPr>
    </w:p>
    <w:p w:rsidR="00E42887" w:rsidRDefault="00E42887" w:rsidP="00FA46DF">
      <w:pPr>
        <w:pStyle w:val="NoSpacing"/>
        <w:tabs>
          <w:tab w:val="left" w:pos="142"/>
        </w:tabs>
        <w:ind w:left="1134" w:hanging="425"/>
        <w:jc w:val="both"/>
        <w:rPr>
          <w:rFonts w:ascii="Arial" w:hAnsi="Arial" w:cs="Arial"/>
          <w:sz w:val="24"/>
          <w:szCs w:val="24"/>
        </w:rPr>
      </w:pPr>
      <w:r w:rsidRPr="00E42887">
        <w:rPr>
          <w:rFonts w:ascii="Arial" w:hAnsi="Arial" w:cs="Arial"/>
          <w:sz w:val="24"/>
          <w:szCs w:val="24"/>
        </w:rPr>
        <w:lastRenderedPageBreak/>
        <w:t>A Budget for a specific financial year is submitted to the Provincial department of Agriculture for a due diligence analysis;</w:t>
      </w:r>
    </w:p>
    <w:p w:rsidR="00E07831" w:rsidRPr="00E42887" w:rsidRDefault="00E07831" w:rsidP="00FA46DF">
      <w:pPr>
        <w:pStyle w:val="NoSpacing"/>
        <w:tabs>
          <w:tab w:val="left" w:pos="142"/>
        </w:tabs>
        <w:ind w:left="1134" w:hanging="425"/>
        <w:jc w:val="both"/>
        <w:rPr>
          <w:rFonts w:ascii="Arial" w:hAnsi="Arial" w:cs="Arial"/>
          <w:sz w:val="24"/>
          <w:szCs w:val="24"/>
        </w:rPr>
      </w:pPr>
    </w:p>
    <w:p w:rsidR="00E42887" w:rsidRDefault="00E42887" w:rsidP="00DE4351">
      <w:pPr>
        <w:pStyle w:val="NoSpacing"/>
        <w:tabs>
          <w:tab w:val="left" w:pos="142"/>
        </w:tabs>
        <w:ind w:left="1080"/>
        <w:jc w:val="both"/>
        <w:rPr>
          <w:rFonts w:ascii="Arial" w:hAnsi="Arial" w:cs="Arial"/>
          <w:sz w:val="24"/>
          <w:szCs w:val="24"/>
        </w:rPr>
      </w:pPr>
      <w:r w:rsidRPr="00E42887">
        <w:rPr>
          <w:rFonts w:ascii="Arial" w:hAnsi="Arial" w:cs="Arial"/>
          <w:sz w:val="24"/>
          <w:szCs w:val="24"/>
        </w:rPr>
        <w:t>A Business Plan is drafted by an external service provider and this must meet the approval of the multi-stakeholder Joint Co-ordinating Committee;</w:t>
      </w:r>
    </w:p>
    <w:p w:rsidR="00E07831" w:rsidRPr="00E42887" w:rsidRDefault="00E07831" w:rsidP="00DE4351">
      <w:pPr>
        <w:pStyle w:val="NoSpacing"/>
        <w:tabs>
          <w:tab w:val="left" w:pos="142"/>
        </w:tabs>
        <w:ind w:left="1080"/>
        <w:jc w:val="both"/>
        <w:rPr>
          <w:rFonts w:ascii="Arial" w:hAnsi="Arial" w:cs="Arial"/>
          <w:sz w:val="24"/>
          <w:szCs w:val="24"/>
        </w:rPr>
      </w:pPr>
    </w:p>
    <w:p w:rsidR="00E42887" w:rsidRDefault="00E42887" w:rsidP="00DE4351">
      <w:pPr>
        <w:pStyle w:val="NoSpacing"/>
        <w:tabs>
          <w:tab w:val="left" w:pos="142"/>
        </w:tabs>
        <w:ind w:left="1080"/>
        <w:jc w:val="both"/>
        <w:rPr>
          <w:rFonts w:ascii="Arial" w:hAnsi="Arial" w:cs="Arial"/>
          <w:sz w:val="24"/>
          <w:szCs w:val="24"/>
        </w:rPr>
      </w:pPr>
      <w:r w:rsidRPr="00E42887">
        <w:rPr>
          <w:rFonts w:ascii="Arial" w:hAnsi="Arial" w:cs="Arial"/>
          <w:sz w:val="24"/>
          <w:szCs w:val="24"/>
        </w:rPr>
        <w:t>The Trust has a procurement policy in place and there is a Trust Deed registered at the Master of the HIGH Court setting forth the principles for governance. The Trust Deed, allows for both the Department and Provincial Agriculture to nominate external trustees with the necessary experience and expertise in the operations of trusts and business to assure that Trust operate in an accountable manner;</w:t>
      </w:r>
    </w:p>
    <w:p w:rsidR="00E07831" w:rsidRPr="00E42887" w:rsidRDefault="00E07831" w:rsidP="00DE4351">
      <w:pPr>
        <w:pStyle w:val="NoSpacing"/>
        <w:tabs>
          <w:tab w:val="left" w:pos="142"/>
        </w:tabs>
        <w:ind w:left="1080"/>
        <w:jc w:val="both"/>
        <w:rPr>
          <w:rFonts w:ascii="Arial" w:hAnsi="Arial" w:cs="Arial"/>
          <w:sz w:val="24"/>
          <w:szCs w:val="24"/>
        </w:rPr>
      </w:pPr>
    </w:p>
    <w:p w:rsidR="00E42887" w:rsidRDefault="00E42887" w:rsidP="00DE4351">
      <w:pPr>
        <w:pStyle w:val="NoSpacing"/>
        <w:tabs>
          <w:tab w:val="left" w:pos="142"/>
        </w:tabs>
        <w:ind w:left="1080"/>
        <w:jc w:val="both"/>
        <w:rPr>
          <w:rFonts w:ascii="Arial" w:hAnsi="Arial" w:cs="Arial"/>
          <w:sz w:val="24"/>
          <w:szCs w:val="24"/>
        </w:rPr>
      </w:pPr>
      <w:r w:rsidRPr="00E42887">
        <w:rPr>
          <w:rFonts w:ascii="Arial" w:hAnsi="Arial" w:cs="Arial"/>
          <w:sz w:val="24"/>
          <w:szCs w:val="24"/>
        </w:rPr>
        <w:t>There are multiple-signatories (four) on the Trust Account held at a financial institution, where authorization for expenditure is required. These include the respective chairpersons of the CPA and Trust, the accountant and;</w:t>
      </w:r>
    </w:p>
    <w:p w:rsidR="00E07831" w:rsidRPr="00E42887" w:rsidRDefault="00E07831" w:rsidP="00DE4351">
      <w:pPr>
        <w:pStyle w:val="NoSpacing"/>
        <w:tabs>
          <w:tab w:val="left" w:pos="142"/>
        </w:tabs>
        <w:ind w:left="1080"/>
        <w:jc w:val="both"/>
        <w:rPr>
          <w:rFonts w:ascii="Arial" w:hAnsi="Arial" w:cs="Arial"/>
          <w:sz w:val="24"/>
          <w:szCs w:val="24"/>
        </w:rPr>
      </w:pPr>
    </w:p>
    <w:p w:rsidR="00E42887" w:rsidRPr="00E42887" w:rsidRDefault="00E42887" w:rsidP="00FA46DF">
      <w:pPr>
        <w:pStyle w:val="NoSpacing"/>
        <w:tabs>
          <w:tab w:val="left" w:pos="1134"/>
        </w:tabs>
        <w:ind w:left="1134"/>
        <w:jc w:val="both"/>
        <w:rPr>
          <w:rFonts w:ascii="Arial" w:hAnsi="Arial" w:cs="Arial"/>
          <w:sz w:val="24"/>
          <w:szCs w:val="24"/>
        </w:rPr>
      </w:pPr>
      <w:r w:rsidRPr="00E42887">
        <w:rPr>
          <w:rFonts w:ascii="Arial" w:hAnsi="Arial" w:cs="Arial"/>
          <w:sz w:val="24"/>
          <w:szCs w:val="24"/>
        </w:rPr>
        <w:t xml:space="preserve">A Memorandum of Agreement was entered into between the CPA (as land holding entity and representative of the claimant community) and the </w:t>
      </w:r>
      <w:proofErr w:type="spellStart"/>
      <w:r w:rsidRPr="00E42887">
        <w:rPr>
          <w:rFonts w:ascii="Arial" w:hAnsi="Arial" w:cs="Arial"/>
          <w:sz w:val="24"/>
          <w:szCs w:val="24"/>
        </w:rPr>
        <w:t>Ebenhaeser</w:t>
      </w:r>
      <w:proofErr w:type="spellEnd"/>
      <w:r w:rsidRPr="00E42887">
        <w:rPr>
          <w:rFonts w:ascii="Arial" w:hAnsi="Arial" w:cs="Arial"/>
          <w:sz w:val="24"/>
          <w:szCs w:val="24"/>
        </w:rPr>
        <w:t xml:space="preserve"> Trust, and MOA sets out the roles and responsibilities, the regulation of the relationship, and also conflict resolution mechanism between these entities.</w:t>
      </w:r>
    </w:p>
    <w:p w:rsidR="00E42887" w:rsidRPr="00E42887" w:rsidRDefault="00E42887" w:rsidP="00FA46DF">
      <w:pPr>
        <w:pStyle w:val="NoSpacing"/>
        <w:tabs>
          <w:tab w:val="left" w:pos="1134"/>
        </w:tabs>
        <w:jc w:val="both"/>
        <w:rPr>
          <w:rFonts w:ascii="Arial" w:hAnsi="Arial" w:cs="Arial"/>
          <w:sz w:val="24"/>
          <w:szCs w:val="24"/>
        </w:rPr>
      </w:pPr>
      <w:r w:rsidRPr="00E42887">
        <w:rPr>
          <w:rFonts w:ascii="Arial" w:hAnsi="Arial" w:cs="Arial"/>
          <w:sz w:val="24"/>
          <w:szCs w:val="24"/>
        </w:rPr>
        <w:t>Audited Annual Financial Reports are compiled by an external auditor.</w:t>
      </w:r>
    </w:p>
    <w:p w:rsidR="000B7E81" w:rsidRPr="00E42887" w:rsidRDefault="000B7E81" w:rsidP="00CC38F1">
      <w:pPr>
        <w:pStyle w:val="NoSpacing"/>
        <w:tabs>
          <w:tab w:val="left" w:pos="142"/>
        </w:tabs>
        <w:jc w:val="both"/>
        <w:rPr>
          <w:rFonts w:ascii="Arial" w:hAnsi="Arial" w:cs="Arial"/>
          <w:sz w:val="24"/>
          <w:szCs w:val="24"/>
        </w:rPr>
      </w:pPr>
    </w:p>
    <w:p w:rsidR="00E07831" w:rsidRDefault="00FA46DF" w:rsidP="00FA46DF">
      <w:pPr>
        <w:pStyle w:val="NoSpacing"/>
        <w:tabs>
          <w:tab w:val="left" w:pos="142"/>
        </w:tabs>
        <w:ind w:left="993" w:hanging="993"/>
        <w:jc w:val="both"/>
        <w:rPr>
          <w:rFonts w:ascii="Arial" w:hAnsi="Arial" w:cs="Arial"/>
          <w:sz w:val="24"/>
          <w:szCs w:val="24"/>
        </w:rPr>
      </w:pPr>
      <w:r>
        <w:rPr>
          <w:rFonts w:ascii="Arial" w:hAnsi="Arial" w:cs="Arial"/>
          <w:sz w:val="24"/>
          <w:szCs w:val="24"/>
        </w:rPr>
        <w:tab/>
      </w:r>
      <w:r w:rsidR="00DE4351" w:rsidRPr="00DE4351">
        <w:rPr>
          <w:rFonts w:ascii="Arial" w:hAnsi="Arial" w:cs="Arial"/>
          <w:sz w:val="24"/>
          <w:szCs w:val="24"/>
        </w:rPr>
        <w:t xml:space="preserve">(b)The </w:t>
      </w:r>
      <w:r w:rsidR="00982DB2">
        <w:rPr>
          <w:rFonts w:ascii="Arial" w:hAnsi="Arial" w:cs="Arial"/>
          <w:sz w:val="24"/>
          <w:szCs w:val="24"/>
        </w:rPr>
        <w:t xml:space="preserve">Department established a </w:t>
      </w:r>
      <w:r w:rsidR="00DE4351" w:rsidRPr="00DE4351">
        <w:rPr>
          <w:rFonts w:ascii="Arial" w:hAnsi="Arial" w:cs="Arial"/>
          <w:sz w:val="24"/>
          <w:szCs w:val="24"/>
        </w:rPr>
        <w:t xml:space="preserve">multi-stakeholder Joint Co-ordinating Committee (JCC) constituted as an oversight body over </w:t>
      </w:r>
      <w:r w:rsidR="00E07831" w:rsidRPr="00DE4351">
        <w:rPr>
          <w:rFonts w:ascii="Arial" w:hAnsi="Arial" w:cs="Arial"/>
          <w:sz w:val="24"/>
          <w:szCs w:val="24"/>
        </w:rPr>
        <w:t>of processes</w:t>
      </w:r>
      <w:r w:rsidR="00DE4351" w:rsidRPr="00DE4351">
        <w:rPr>
          <w:rFonts w:ascii="Arial" w:hAnsi="Arial" w:cs="Arial"/>
          <w:sz w:val="24"/>
          <w:szCs w:val="24"/>
        </w:rPr>
        <w:t xml:space="preserve"> and procedures adopted in the implementation of the Community Development and Land Acquisition Plan andthe Settlement Agreement of 2015. </w:t>
      </w:r>
    </w:p>
    <w:p w:rsidR="00982DB2" w:rsidRDefault="00E07831" w:rsidP="00FA46DF">
      <w:pPr>
        <w:pStyle w:val="NoSpacing"/>
        <w:tabs>
          <w:tab w:val="left" w:pos="142"/>
        </w:tabs>
        <w:ind w:left="993" w:hanging="993"/>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DE4351" w:rsidRDefault="00982DB2" w:rsidP="00FA46DF">
      <w:pPr>
        <w:pStyle w:val="NoSpacing"/>
        <w:tabs>
          <w:tab w:val="left" w:pos="142"/>
        </w:tabs>
        <w:ind w:left="993" w:hanging="993"/>
        <w:jc w:val="both"/>
        <w:rPr>
          <w:rFonts w:ascii="Arial" w:hAnsi="Arial" w:cs="Arial"/>
          <w:sz w:val="24"/>
          <w:szCs w:val="24"/>
        </w:rPr>
      </w:pPr>
      <w:r>
        <w:rPr>
          <w:rFonts w:ascii="Arial" w:hAnsi="Arial" w:cs="Arial"/>
          <w:sz w:val="24"/>
          <w:szCs w:val="24"/>
        </w:rPr>
        <w:tab/>
      </w:r>
      <w:r>
        <w:rPr>
          <w:rFonts w:ascii="Arial" w:hAnsi="Arial" w:cs="Arial"/>
          <w:sz w:val="24"/>
          <w:szCs w:val="24"/>
        </w:rPr>
        <w:tab/>
        <w:t>The t</w:t>
      </w:r>
      <w:r w:rsidR="00DE4351" w:rsidRPr="00DE4351">
        <w:rPr>
          <w:rFonts w:ascii="Arial" w:hAnsi="Arial" w:cs="Arial"/>
          <w:sz w:val="24"/>
          <w:szCs w:val="24"/>
        </w:rPr>
        <w:t>erms of Reference was concluded between the parties / members which are the following:</w:t>
      </w:r>
    </w:p>
    <w:p w:rsidR="00FA46DF" w:rsidRPr="00DE4351" w:rsidRDefault="00FA46DF" w:rsidP="00FA46DF">
      <w:pPr>
        <w:pStyle w:val="NoSpacing"/>
        <w:tabs>
          <w:tab w:val="left" w:pos="142"/>
        </w:tabs>
        <w:ind w:left="993" w:hanging="993"/>
        <w:jc w:val="both"/>
        <w:rPr>
          <w:rFonts w:ascii="Arial" w:hAnsi="Arial" w:cs="Arial"/>
          <w:sz w:val="24"/>
          <w:szCs w:val="24"/>
        </w:rPr>
      </w:pPr>
    </w:p>
    <w:p w:rsidR="00DE4351" w:rsidRDefault="00FA46DF" w:rsidP="00FA46DF">
      <w:pPr>
        <w:pStyle w:val="NoSpacing"/>
        <w:tabs>
          <w:tab w:val="left" w:pos="142"/>
        </w:tabs>
        <w:ind w:left="993" w:hanging="993"/>
        <w:jc w:val="both"/>
        <w:rPr>
          <w:rFonts w:ascii="Arial" w:hAnsi="Arial" w:cs="Arial"/>
          <w:sz w:val="24"/>
          <w:szCs w:val="24"/>
        </w:rPr>
      </w:pPr>
      <w:r>
        <w:rPr>
          <w:rFonts w:ascii="Arial" w:hAnsi="Arial" w:cs="Arial"/>
          <w:sz w:val="24"/>
          <w:szCs w:val="24"/>
        </w:rPr>
        <w:tab/>
      </w:r>
      <w:r>
        <w:rPr>
          <w:rFonts w:ascii="Arial" w:hAnsi="Arial" w:cs="Arial"/>
          <w:sz w:val="24"/>
          <w:szCs w:val="24"/>
        </w:rPr>
        <w:tab/>
      </w:r>
      <w:r w:rsidR="00DE4351" w:rsidRPr="00DE4351">
        <w:rPr>
          <w:rFonts w:ascii="Arial" w:hAnsi="Arial" w:cs="Arial"/>
          <w:sz w:val="24"/>
          <w:szCs w:val="24"/>
        </w:rPr>
        <w:t xml:space="preserve">The Department of Agriculture, Land Reform and Rural Development, the Commission on Restitution of Land Rights; Matzikama local municipality; Provincial department of Agriculture; National Department of Water and Sanitation; The </w:t>
      </w:r>
      <w:proofErr w:type="spellStart"/>
      <w:r w:rsidR="00DE4351" w:rsidRPr="00DE4351">
        <w:rPr>
          <w:rFonts w:ascii="Arial" w:hAnsi="Arial" w:cs="Arial"/>
          <w:sz w:val="24"/>
          <w:szCs w:val="24"/>
        </w:rPr>
        <w:t>Ebenhaeser</w:t>
      </w:r>
      <w:proofErr w:type="spellEnd"/>
      <w:r w:rsidR="00DE4351" w:rsidRPr="00DE4351">
        <w:rPr>
          <w:rFonts w:ascii="Arial" w:hAnsi="Arial" w:cs="Arial"/>
          <w:sz w:val="24"/>
          <w:szCs w:val="24"/>
        </w:rPr>
        <w:t xml:space="preserve"> CPA; </w:t>
      </w:r>
      <w:proofErr w:type="spellStart"/>
      <w:r w:rsidR="00DE4351" w:rsidRPr="00DE4351">
        <w:rPr>
          <w:rFonts w:ascii="Arial" w:hAnsi="Arial" w:cs="Arial"/>
          <w:sz w:val="24"/>
          <w:szCs w:val="24"/>
        </w:rPr>
        <w:t>Ebenhaeser</w:t>
      </w:r>
      <w:proofErr w:type="spellEnd"/>
      <w:r w:rsidR="00DE4351" w:rsidRPr="00DE4351">
        <w:rPr>
          <w:rFonts w:ascii="Arial" w:hAnsi="Arial" w:cs="Arial"/>
          <w:sz w:val="24"/>
          <w:szCs w:val="24"/>
        </w:rPr>
        <w:t xml:space="preserve"> Trust.</w:t>
      </w:r>
    </w:p>
    <w:p w:rsidR="00FA46DF" w:rsidRPr="00DE4351" w:rsidRDefault="00FA46DF" w:rsidP="00FA46DF">
      <w:pPr>
        <w:pStyle w:val="NoSpacing"/>
        <w:tabs>
          <w:tab w:val="left" w:pos="142"/>
        </w:tabs>
        <w:ind w:left="993" w:hanging="993"/>
        <w:jc w:val="both"/>
        <w:rPr>
          <w:rFonts w:ascii="Arial" w:hAnsi="Arial" w:cs="Arial"/>
          <w:sz w:val="24"/>
          <w:szCs w:val="24"/>
        </w:rPr>
      </w:pPr>
    </w:p>
    <w:p w:rsidR="00DE4351" w:rsidRPr="00DE4351" w:rsidRDefault="00FA46DF" w:rsidP="00FA46DF">
      <w:pPr>
        <w:pStyle w:val="NoSpacing"/>
        <w:tabs>
          <w:tab w:val="left" w:pos="142"/>
        </w:tabs>
        <w:ind w:left="993" w:hanging="993"/>
        <w:jc w:val="both"/>
        <w:rPr>
          <w:rFonts w:ascii="Arial" w:hAnsi="Arial" w:cs="Arial"/>
          <w:sz w:val="24"/>
          <w:szCs w:val="24"/>
        </w:rPr>
      </w:pPr>
      <w:r>
        <w:rPr>
          <w:rFonts w:ascii="Arial" w:hAnsi="Arial" w:cs="Arial"/>
          <w:sz w:val="24"/>
          <w:szCs w:val="24"/>
        </w:rPr>
        <w:tab/>
      </w:r>
      <w:r>
        <w:rPr>
          <w:rFonts w:ascii="Arial" w:hAnsi="Arial" w:cs="Arial"/>
          <w:sz w:val="24"/>
          <w:szCs w:val="24"/>
        </w:rPr>
        <w:tab/>
      </w:r>
      <w:r w:rsidR="00DE4351" w:rsidRPr="00DE4351">
        <w:rPr>
          <w:rFonts w:ascii="Arial" w:hAnsi="Arial" w:cs="Arial"/>
          <w:sz w:val="24"/>
          <w:szCs w:val="24"/>
        </w:rPr>
        <w:t xml:space="preserve">The Department has entered </w:t>
      </w:r>
      <w:proofErr w:type="spellStart"/>
      <w:r w:rsidR="00DE4351" w:rsidRPr="00DE4351">
        <w:rPr>
          <w:rFonts w:ascii="Arial" w:hAnsi="Arial" w:cs="Arial"/>
          <w:sz w:val="24"/>
          <w:szCs w:val="24"/>
        </w:rPr>
        <w:t>ito</w:t>
      </w:r>
      <w:proofErr w:type="spellEnd"/>
      <w:r w:rsidR="00DE4351" w:rsidRPr="00DE4351">
        <w:rPr>
          <w:rFonts w:ascii="Arial" w:hAnsi="Arial" w:cs="Arial"/>
          <w:sz w:val="24"/>
          <w:szCs w:val="24"/>
        </w:rPr>
        <w:t xml:space="preserve"> an agreement with VINPRO (the commodity organization in the wine industry. VINPRO has a direct involvement with the </w:t>
      </w:r>
      <w:proofErr w:type="spellStart"/>
      <w:r w:rsidR="00DE4351" w:rsidRPr="00DE4351">
        <w:rPr>
          <w:rFonts w:ascii="Arial" w:hAnsi="Arial" w:cs="Arial"/>
          <w:sz w:val="24"/>
          <w:szCs w:val="24"/>
        </w:rPr>
        <w:t>Ebenhaeser</w:t>
      </w:r>
      <w:proofErr w:type="spellEnd"/>
      <w:r w:rsidR="00DE4351" w:rsidRPr="00DE4351">
        <w:rPr>
          <w:rFonts w:ascii="Arial" w:hAnsi="Arial" w:cs="Arial"/>
          <w:sz w:val="24"/>
          <w:szCs w:val="24"/>
        </w:rPr>
        <w:t xml:space="preserve"> Trust and CPA in the form of mentoring and guidance.</w:t>
      </w:r>
    </w:p>
    <w:p w:rsidR="000B7E81" w:rsidRDefault="00FA46DF" w:rsidP="00FA46DF">
      <w:pPr>
        <w:pStyle w:val="NoSpacing"/>
        <w:tabs>
          <w:tab w:val="left" w:pos="142"/>
        </w:tabs>
        <w:ind w:left="993" w:hanging="993"/>
        <w:jc w:val="both"/>
        <w:rPr>
          <w:rFonts w:ascii="Arial" w:hAnsi="Arial" w:cs="Arial"/>
          <w:sz w:val="24"/>
          <w:szCs w:val="24"/>
        </w:rPr>
      </w:pPr>
      <w:r>
        <w:rPr>
          <w:rFonts w:ascii="Arial" w:hAnsi="Arial" w:cs="Arial"/>
          <w:sz w:val="24"/>
          <w:szCs w:val="24"/>
        </w:rPr>
        <w:tab/>
      </w:r>
      <w:r>
        <w:rPr>
          <w:rFonts w:ascii="Arial" w:hAnsi="Arial" w:cs="Arial"/>
          <w:sz w:val="24"/>
          <w:szCs w:val="24"/>
        </w:rPr>
        <w:tab/>
      </w:r>
      <w:r w:rsidR="00DE4351" w:rsidRPr="00DE4351">
        <w:rPr>
          <w:rFonts w:ascii="Arial" w:hAnsi="Arial" w:cs="Arial"/>
          <w:sz w:val="24"/>
          <w:szCs w:val="24"/>
        </w:rPr>
        <w:t>The JCC sits bi-monthly and members report on issues under their respective watch and their mandates.</w:t>
      </w:r>
    </w:p>
    <w:p w:rsidR="00D51A74" w:rsidRDefault="00D51A74" w:rsidP="00FA46DF">
      <w:pPr>
        <w:pStyle w:val="NoSpacing"/>
        <w:tabs>
          <w:tab w:val="left" w:pos="142"/>
        </w:tabs>
        <w:ind w:left="993" w:hanging="993"/>
        <w:jc w:val="both"/>
        <w:rPr>
          <w:rFonts w:ascii="Arial" w:hAnsi="Arial" w:cs="Arial"/>
          <w:sz w:val="24"/>
          <w:szCs w:val="24"/>
        </w:rPr>
      </w:pPr>
    </w:p>
    <w:p w:rsidR="00D51A74" w:rsidRDefault="00D51A74" w:rsidP="00FA46DF">
      <w:pPr>
        <w:pStyle w:val="NoSpacing"/>
        <w:tabs>
          <w:tab w:val="left" w:pos="142"/>
        </w:tabs>
        <w:ind w:left="993" w:hanging="993"/>
        <w:jc w:val="both"/>
        <w:rPr>
          <w:rFonts w:ascii="Arial" w:hAnsi="Arial" w:cs="Arial"/>
          <w:sz w:val="24"/>
          <w:szCs w:val="24"/>
        </w:rPr>
      </w:pPr>
    </w:p>
    <w:p w:rsidR="00D51A74" w:rsidRDefault="00D51A74" w:rsidP="00FA46DF">
      <w:pPr>
        <w:pStyle w:val="NoSpacing"/>
        <w:tabs>
          <w:tab w:val="left" w:pos="142"/>
        </w:tabs>
        <w:ind w:left="993" w:hanging="993"/>
        <w:jc w:val="both"/>
        <w:rPr>
          <w:rFonts w:ascii="Arial" w:hAnsi="Arial" w:cs="Arial"/>
          <w:sz w:val="24"/>
          <w:szCs w:val="24"/>
        </w:rPr>
      </w:pPr>
    </w:p>
    <w:p w:rsidR="00D51A74" w:rsidRPr="005C7C6D" w:rsidRDefault="00D51A74" w:rsidP="00FA46DF">
      <w:pPr>
        <w:pStyle w:val="NoSpacing"/>
        <w:tabs>
          <w:tab w:val="left" w:pos="142"/>
        </w:tabs>
        <w:ind w:left="993" w:hanging="993"/>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C7C6D">
        <w:rPr>
          <w:rFonts w:ascii="Arial" w:hAnsi="Arial" w:cs="Arial"/>
          <w:b/>
          <w:sz w:val="24"/>
          <w:szCs w:val="24"/>
        </w:rPr>
        <w:t>EN</w:t>
      </w:r>
      <w:r w:rsidR="005C7C6D" w:rsidRPr="005C7C6D">
        <w:rPr>
          <w:rFonts w:ascii="Arial" w:hAnsi="Arial" w:cs="Arial"/>
          <w:b/>
          <w:sz w:val="24"/>
          <w:szCs w:val="24"/>
        </w:rPr>
        <w:t>D</w:t>
      </w:r>
    </w:p>
    <w:sectPr w:rsidR="00D51A74" w:rsidRPr="005C7C6D"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1E447A"/>
    <w:multiLevelType w:val="hybridMultilevel"/>
    <w:tmpl w:val="8A5EDC5A"/>
    <w:lvl w:ilvl="0" w:tplc="C73E391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37B04A6"/>
    <w:multiLevelType w:val="hybridMultilevel"/>
    <w:tmpl w:val="6918245A"/>
    <w:lvl w:ilvl="0" w:tplc="A0D825F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A2F2C14"/>
    <w:multiLevelType w:val="hybridMultilevel"/>
    <w:tmpl w:val="635C1576"/>
    <w:lvl w:ilvl="0" w:tplc="40FC696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9"/>
  </w:num>
  <w:num w:numId="8">
    <w:abstractNumId w:val="8"/>
  </w:num>
  <w:num w:numId="9">
    <w:abstractNumId w:val="4"/>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2536"/>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46A3"/>
    <w:rsid w:val="0021572E"/>
    <w:rsid w:val="0022655D"/>
    <w:rsid w:val="00234BE4"/>
    <w:rsid w:val="002355A7"/>
    <w:rsid w:val="00280CDD"/>
    <w:rsid w:val="00290E28"/>
    <w:rsid w:val="00297E5F"/>
    <w:rsid w:val="002A00D0"/>
    <w:rsid w:val="002C5DC3"/>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97CA7"/>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6D"/>
    <w:rsid w:val="005C7CAD"/>
    <w:rsid w:val="005D29E0"/>
    <w:rsid w:val="005D6E12"/>
    <w:rsid w:val="005F30F3"/>
    <w:rsid w:val="005F505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061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7601"/>
    <w:rsid w:val="00877FFE"/>
    <w:rsid w:val="0088079C"/>
    <w:rsid w:val="00890974"/>
    <w:rsid w:val="008966A1"/>
    <w:rsid w:val="008A2C9C"/>
    <w:rsid w:val="008A4FB7"/>
    <w:rsid w:val="008B4F52"/>
    <w:rsid w:val="008B5050"/>
    <w:rsid w:val="008D3AF8"/>
    <w:rsid w:val="008D7836"/>
    <w:rsid w:val="008E686A"/>
    <w:rsid w:val="008F1E1B"/>
    <w:rsid w:val="008F22DD"/>
    <w:rsid w:val="008F3012"/>
    <w:rsid w:val="008F7745"/>
    <w:rsid w:val="00901E7D"/>
    <w:rsid w:val="00902BA5"/>
    <w:rsid w:val="009078FB"/>
    <w:rsid w:val="009121A3"/>
    <w:rsid w:val="00924313"/>
    <w:rsid w:val="00924914"/>
    <w:rsid w:val="00933828"/>
    <w:rsid w:val="00933D88"/>
    <w:rsid w:val="009457EF"/>
    <w:rsid w:val="00956AE7"/>
    <w:rsid w:val="009621BB"/>
    <w:rsid w:val="0097678F"/>
    <w:rsid w:val="009823D6"/>
    <w:rsid w:val="00982DB2"/>
    <w:rsid w:val="00995E51"/>
    <w:rsid w:val="009A133D"/>
    <w:rsid w:val="009B00AA"/>
    <w:rsid w:val="009C1DC2"/>
    <w:rsid w:val="009D5720"/>
    <w:rsid w:val="009E7F7A"/>
    <w:rsid w:val="009F0324"/>
    <w:rsid w:val="009F12E9"/>
    <w:rsid w:val="009F69BF"/>
    <w:rsid w:val="00A061B1"/>
    <w:rsid w:val="00A11407"/>
    <w:rsid w:val="00A12546"/>
    <w:rsid w:val="00A5099E"/>
    <w:rsid w:val="00A5760D"/>
    <w:rsid w:val="00A757DA"/>
    <w:rsid w:val="00A811CD"/>
    <w:rsid w:val="00AA440F"/>
    <w:rsid w:val="00AA7EF8"/>
    <w:rsid w:val="00AA7F90"/>
    <w:rsid w:val="00AB204B"/>
    <w:rsid w:val="00AC01E8"/>
    <w:rsid w:val="00AD5D6F"/>
    <w:rsid w:val="00AE3B9A"/>
    <w:rsid w:val="00AF5D3E"/>
    <w:rsid w:val="00B01282"/>
    <w:rsid w:val="00B125DB"/>
    <w:rsid w:val="00B23562"/>
    <w:rsid w:val="00B27A1B"/>
    <w:rsid w:val="00B33396"/>
    <w:rsid w:val="00B35E24"/>
    <w:rsid w:val="00B71E7C"/>
    <w:rsid w:val="00B72514"/>
    <w:rsid w:val="00B80FC4"/>
    <w:rsid w:val="00B8633E"/>
    <w:rsid w:val="00B97E5C"/>
    <w:rsid w:val="00BB0024"/>
    <w:rsid w:val="00BB2068"/>
    <w:rsid w:val="00BB2FDE"/>
    <w:rsid w:val="00BC2F11"/>
    <w:rsid w:val="00C120FE"/>
    <w:rsid w:val="00C123AE"/>
    <w:rsid w:val="00C14953"/>
    <w:rsid w:val="00C358F6"/>
    <w:rsid w:val="00C366DC"/>
    <w:rsid w:val="00C43D77"/>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51A74"/>
    <w:rsid w:val="00D578BC"/>
    <w:rsid w:val="00D66976"/>
    <w:rsid w:val="00D67FFE"/>
    <w:rsid w:val="00D767A4"/>
    <w:rsid w:val="00D850B2"/>
    <w:rsid w:val="00D86E2C"/>
    <w:rsid w:val="00D87A79"/>
    <w:rsid w:val="00D97EFF"/>
    <w:rsid w:val="00DC48AF"/>
    <w:rsid w:val="00DD0909"/>
    <w:rsid w:val="00DD3420"/>
    <w:rsid w:val="00DD380D"/>
    <w:rsid w:val="00DE3398"/>
    <w:rsid w:val="00DE4351"/>
    <w:rsid w:val="00DE4549"/>
    <w:rsid w:val="00DF08C3"/>
    <w:rsid w:val="00DF79A4"/>
    <w:rsid w:val="00E00592"/>
    <w:rsid w:val="00E01540"/>
    <w:rsid w:val="00E06A3C"/>
    <w:rsid w:val="00E07831"/>
    <w:rsid w:val="00E129D5"/>
    <w:rsid w:val="00E1432C"/>
    <w:rsid w:val="00E159FD"/>
    <w:rsid w:val="00E36039"/>
    <w:rsid w:val="00E3774C"/>
    <w:rsid w:val="00E4020A"/>
    <w:rsid w:val="00E42887"/>
    <w:rsid w:val="00E433A8"/>
    <w:rsid w:val="00E55957"/>
    <w:rsid w:val="00E648A4"/>
    <w:rsid w:val="00E82455"/>
    <w:rsid w:val="00E94873"/>
    <w:rsid w:val="00E96F22"/>
    <w:rsid w:val="00EB298B"/>
    <w:rsid w:val="00EC6216"/>
    <w:rsid w:val="00EE534B"/>
    <w:rsid w:val="00EF1D88"/>
    <w:rsid w:val="00EF468C"/>
    <w:rsid w:val="00EF4DD8"/>
    <w:rsid w:val="00F10306"/>
    <w:rsid w:val="00F24EA3"/>
    <w:rsid w:val="00F33DE3"/>
    <w:rsid w:val="00F346B2"/>
    <w:rsid w:val="00F41D98"/>
    <w:rsid w:val="00F448C5"/>
    <w:rsid w:val="00F515CF"/>
    <w:rsid w:val="00F6615B"/>
    <w:rsid w:val="00F8320C"/>
    <w:rsid w:val="00F832DB"/>
    <w:rsid w:val="00F83BBF"/>
    <w:rsid w:val="00F87BF1"/>
    <w:rsid w:val="00F973DE"/>
    <w:rsid w:val="00FA2B35"/>
    <w:rsid w:val="00FA46DF"/>
    <w:rsid w:val="00FA4F67"/>
    <w:rsid w:val="00FA5553"/>
    <w:rsid w:val="00FB08ED"/>
    <w:rsid w:val="00FB0C30"/>
    <w:rsid w:val="00FB1669"/>
    <w:rsid w:val="00FC54FF"/>
    <w:rsid w:val="00FC653F"/>
    <w:rsid w:val="00FD068D"/>
    <w:rsid w:val="00FD7F03"/>
    <w:rsid w:val="00FE21FB"/>
    <w:rsid w:val="00FF1348"/>
    <w:rsid w:val="00FF3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CD75F-A20F-4BF4-B46B-A6FD9B3A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B28A-5135-48B2-B312-607B802E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dcterms:created xsi:type="dcterms:W3CDTF">2020-04-19T16:01:00Z</dcterms:created>
  <dcterms:modified xsi:type="dcterms:W3CDTF">2020-04-19T16:01:00Z</dcterms:modified>
</cp:coreProperties>
</file>