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75" w:rsidRPr="009C1487" w:rsidRDefault="00B35B2E" w:rsidP="00852FC7">
      <w:pPr>
        <w:tabs>
          <w:tab w:val="left" w:pos="432"/>
          <w:tab w:val="left" w:pos="864"/>
        </w:tabs>
        <w:spacing w:before="100" w:beforeAutospacing="1" w:after="100" w:afterAutospacing="1"/>
        <w:jc w:val="center"/>
        <w:rPr>
          <w:b/>
        </w:rPr>
      </w:pPr>
      <w:r>
        <w:rPr>
          <w:b/>
        </w:rPr>
        <w:tab/>
      </w:r>
      <w:r w:rsidR="00643475" w:rsidRPr="009C1487">
        <w:rPr>
          <w:b/>
        </w:rPr>
        <w:t xml:space="preserve">THE NATIONAL </w:t>
      </w:r>
      <w:r w:rsidR="00BE0CBF" w:rsidRPr="009C1487">
        <w:rPr>
          <w:b/>
        </w:rPr>
        <w:t>ASSEMBLY</w:t>
      </w:r>
    </w:p>
    <w:p w:rsidR="00643475" w:rsidRDefault="009F5DFC" w:rsidP="00852FC7">
      <w:pPr>
        <w:tabs>
          <w:tab w:val="left" w:pos="432"/>
          <w:tab w:val="left" w:pos="864"/>
        </w:tabs>
        <w:spacing w:before="100" w:beforeAutospacing="1" w:after="100" w:afterAutospacing="1"/>
        <w:jc w:val="center"/>
        <w:rPr>
          <w:b/>
        </w:rPr>
      </w:pPr>
      <w:r>
        <w:rPr>
          <w:b/>
        </w:rPr>
        <w:t xml:space="preserve">    </w:t>
      </w:r>
      <w:r w:rsidR="00643475" w:rsidRPr="009C1487">
        <w:rPr>
          <w:b/>
        </w:rPr>
        <w:t xml:space="preserve">QUESTION FOR </w:t>
      </w:r>
      <w:r w:rsidR="00BE0CBF" w:rsidRPr="009C1487">
        <w:rPr>
          <w:b/>
        </w:rPr>
        <w:t>WRITTEN REPLY</w:t>
      </w:r>
    </w:p>
    <w:p w:rsidR="009F5DFC" w:rsidRPr="009C1487" w:rsidRDefault="009F5DFC" w:rsidP="00852FC7">
      <w:pPr>
        <w:tabs>
          <w:tab w:val="left" w:pos="432"/>
          <w:tab w:val="left" w:pos="864"/>
        </w:tabs>
        <w:spacing w:before="100" w:beforeAutospacing="1" w:after="100" w:afterAutospacing="1"/>
        <w:jc w:val="center"/>
        <w:rPr>
          <w:b/>
        </w:rPr>
      </w:pPr>
    </w:p>
    <w:p w:rsidR="009A51EA" w:rsidRPr="009A51EA" w:rsidRDefault="009A51EA" w:rsidP="007B329E">
      <w:pPr>
        <w:spacing w:before="100" w:beforeAutospacing="1" w:after="100" w:afterAutospacing="1"/>
        <w:ind w:left="567" w:hanging="567"/>
        <w:jc w:val="both"/>
        <w:outlineLvl w:val="0"/>
        <w:rPr>
          <w:rFonts w:eastAsia="Calibri"/>
          <w:lang w:val="en-ZA"/>
        </w:rPr>
      </w:pPr>
      <w:r w:rsidRPr="009A51EA">
        <w:rPr>
          <w:rFonts w:eastAsia="Calibri"/>
          <w:b/>
          <w:noProof/>
          <w:lang w:val="af-ZA"/>
        </w:rPr>
        <w:t>394</w:t>
      </w:r>
      <w:r w:rsidRPr="009A51EA">
        <w:rPr>
          <w:rFonts w:eastAsia="Calibri"/>
          <w:b/>
          <w:lang w:val="en-ZA"/>
        </w:rPr>
        <w:t>.</w:t>
      </w:r>
      <w:r w:rsidRPr="009A51EA">
        <w:rPr>
          <w:rFonts w:eastAsia="Calibri"/>
          <w:b/>
          <w:lang w:val="en-ZA"/>
        </w:rPr>
        <w:tab/>
        <w:t>Ms S J Nkomo (IFP) to ask the Minister of Trade and Industry:</w:t>
      </w:r>
    </w:p>
    <w:p w:rsidR="009A51EA" w:rsidRDefault="009A51EA" w:rsidP="007B329E">
      <w:pPr>
        <w:spacing w:before="100" w:beforeAutospacing="1" w:after="100" w:afterAutospacing="1"/>
        <w:ind w:left="567" w:hanging="567"/>
        <w:jc w:val="both"/>
        <w:rPr>
          <w:rFonts w:eastAsia="Calibri"/>
        </w:rPr>
      </w:pPr>
      <w:r w:rsidRPr="00A17921">
        <w:t xml:space="preserve"> </w:t>
      </w:r>
      <w:bookmarkStart w:id="0" w:name="OLE_LINK2"/>
      <w:bookmarkStart w:id="1" w:name="OLE_LINK1"/>
      <w:bookmarkStart w:id="2" w:name="OLE_LINK4"/>
      <w:bookmarkStart w:id="3" w:name="OLE_LINK3"/>
      <w:bookmarkStart w:id="4" w:name="OLE_LINK8"/>
      <w:bookmarkStart w:id="5" w:name="OLE_LINK9"/>
      <w:r w:rsidRPr="009A51EA">
        <w:rPr>
          <w:rFonts w:eastAsia="Calibri"/>
        </w:rPr>
        <w:t>(1)</w:t>
      </w:r>
      <w:r w:rsidRPr="009A51EA">
        <w:rPr>
          <w:rFonts w:eastAsia="Calibri"/>
        </w:rPr>
        <w:tab/>
        <w:t xml:space="preserve">Whether he can provide the (a) names and surnames and (b) dates of birth of the (i) company directors and (ii) managing directors of African Global Operations, formerly known as Bosasa Operations, since its inception in 1991 to date; </w:t>
      </w:r>
    </w:p>
    <w:p w:rsidR="00D063F5" w:rsidRPr="00381BEB" w:rsidRDefault="00D063F5" w:rsidP="007B329E">
      <w:pPr>
        <w:ind w:left="567" w:hanging="567"/>
        <w:jc w:val="both"/>
        <w:rPr>
          <w:bCs/>
        </w:rPr>
      </w:pPr>
      <w:r w:rsidRPr="00374531">
        <w:t>(2)</w:t>
      </w:r>
      <w:r w:rsidRPr="00374531">
        <w:tab/>
      </w:r>
      <w:proofErr w:type="gramStart"/>
      <w:r w:rsidRPr="00374531">
        <w:t>whether</w:t>
      </w:r>
      <w:proofErr w:type="gramEnd"/>
      <w:r w:rsidRPr="00374531">
        <w:t xml:space="preserve"> he can provide the (a) broad-based black economic empowerment certificates, (b) financial statements and (c) annual turnover of the specified company from the time of inception to date?</w:t>
      </w:r>
      <w:r w:rsidRPr="00374531">
        <w:tab/>
      </w:r>
      <w:r w:rsidRPr="00EB7C1D">
        <w:rPr>
          <w:sz w:val="20"/>
        </w:rPr>
        <w:t>NW418E</w:t>
      </w:r>
    </w:p>
    <w:p w:rsidR="008969CC" w:rsidRDefault="008969CC" w:rsidP="007B329E">
      <w:pPr>
        <w:ind w:left="567" w:hanging="567"/>
        <w:jc w:val="both"/>
        <w:rPr>
          <w:b/>
          <w:bCs/>
        </w:rPr>
      </w:pPr>
    </w:p>
    <w:p w:rsidR="00A91A39" w:rsidRDefault="00A91A39" w:rsidP="00333597">
      <w:pPr>
        <w:ind w:left="567" w:hanging="567"/>
        <w:rPr>
          <w:b/>
          <w:bCs/>
        </w:rPr>
      </w:pPr>
    </w:p>
    <w:p w:rsidR="009C1487" w:rsidRPr="00B74D4F" w:rsidRDefault="003E1D86" w:rsidP="00333597">
      <w:pPr>
        <w:ind w:left="567" w:hanging="567"/>
        <w:rPr>
          <w:bCs/>
        </w:rPr>
      </w:pPr>
      <w:r w:rsidRPr="00B74D4F">
        <w:rPr>
          <w:b/>
          <w:bCs/>
        </w:rPr>
        <w:t>Response</w:t>
      </w:r>
    </w:p>
    <w:p w:rsidR="00381BEB" w:rsidRDefault="00381BEB" w:rsidP="00333597">
      <w:pPr>
        <w:ind w:left="567" w:hanging="567"/>
        <w:rPr>
          <w:bCs/>
        </w:rPr>
      </w:pPr>
    </w:p>
    <w:p w:rsidR="00381BEB" w:rsidRDefault="0055509B" w:rsidP="009110E9">
      <w:pPr>
        <w:numPr>
          <w:ilvl w:val="0"/>
          <w:numId w:val="1"/>
        </w:numPr>
        <w:ind w:left="567" w:hanging="567"/>
        <w:jc w:val="both"/>
        <w:rPr>
          <w:bCs/>
        </w:rPr>
      </w:pPr>
      <w:r w:rsidRPr="00B74D4F">
        <w:rPr>
          <w:bCs/>
        </w:rPr>
        <w:t xml:space="preserve">(a) </w:t>
      </w:r>
      <w:proofErr w:type="gramStart"/>
      <w:r w:rsidRPr="00B74D4F">
        <w:rPr>
          <w:bCs/>
        </w:rPr>
        <w:t>and</w:t>
      </w:r>
      <w:proofErr w:type="gramEnd"/>
      <w:r w:rsidRPr="00B74D4F">
        <w:rPr>
          <w:bCs/>
        </w:rPr>
        <w:t xml:space="preserve"> (b)</w:t>
      </w:r>
      <w:r w:rsidR="00B74D4F" w:rsidRPr="00B74D4F">
        <w:rPr>
          <w:bCs/>
        </w:rPr>
        <w:t>(</w:t>
      </w:r>
      <w:proofErr w:type="spellStart"/>
      <w:r w:rsidR="00B74D4F" w:rsidRPr="00B74D4F">
        <w:rPr>
          <w:bCs/>
        </w:rPr>
        <w:t>i</w:t>
      </w:r>
      <w:proofErr w:type="spellEnd"/>
      <w:r w:rsidR="00B74D4F" w:rsidRPr="00B74D4F">
        <w:rPr>
          <w:bCs/>
        </w:rPr>
        <w:t>)</w:t>
      </w:r>
      <w:r w:rsidR="00575FD5" w:rsidRPr="00B74D4F">
        <w:rPr>
          <w:bCs/>
        </w:rPr>
        <w:t xml:space="preserve"> </w:t>
      </w:r>
      <w:r w:rsidR="00D321D3" w:rsidRPr="00B74D4F">
        <w:rPr>
          <w:bCs/>
        </w:rPr>
        <w:t xml:space="preserve">Please refer to </w:t>
      </w:r>
      <w:r w:rsidR="00F61CA7" w:rsidRPr="00B74D4F">
        <w:rPr>
          <w:bCs/>
        </w:rPr>
        <w:t xml:space="preserve">the </w:t>
      </w:r>
      <w:r w:rsidR="00D321D3" w:rsidRPr="00B74D4F">
        <w:rPr>
          <w:bCs/>
        </w:rPr>
        <w:t xml:space="preserve">enclosed </w:t>
      </w:r>
      <w:r w:rsidR="00D321D3" w:rsidRPr="00B74D4F">
        <w:rPr>
          <w:b/>
          <w:bCs/>
        </w:rPr>
        <w:t>Annexure A</w:t>
      </w:r>
      <w:r w:rsidR="00B74D4F" w:rsidRPr="00B74D4F">
        <w:rPr>
          <w:b/>
          <w:bCs/>
        </w:rPr>
        <w:t xml:space="preserve"> </w:t>
      </w:r>
      <w:r w:rsidR="00575FD5" w:rsidRPr="00B74D4F">
        <w:rPr>
          <w:bCs/>
        </w:rPr>
        <w:t xml:space="preserve">and </w:t>
      </w:r>
      <w:r w:rsidR="00381BEB" w:rsidRPr="00B74D4F">
        <w:rPr>
          <w:bCs/>
        </w:rPr>
        <w:t>(ii) CIPC do</w:t>
      </w:r>
      <w:r w:rsidR="00061EB2" w:rsidRPr="00B74D4F">
        <w:rPr>
          <w:bCs/>
        </w:rPr>
        <w:t>es</w:t>
      </w:r>
      <w:r w:rsidR="00381BEB" w:rsidRPr="00B74D4F">
        <w:rPr>
          <w:bCs/>
        </w:rPr>
        <w:t xml:space="preserve"> not have a record of the managing directors of African Global </w:t>
      </w:r>
      <w:r w:rsidR="00867AE1" w:rsidRPr="00B74D4F">
        <w:rPr>
          <w:bCs/>
        </w:rPr>
        <w:t>Operations.</w:t>
      </w:r>
    </w:p>
    <w:p w:rsidR="009F2845" w:rsidRPr="00B74D4F" w:rsidRDefault="009F2845" w:rsidP="009F2845">
      <w:pPr>
        <w:ind w:left="567"/>
        <w:jc w:val="both"/>
        <w:rPr>
          <w:bCs/>
        </w:rPr>
      </w:pPr>
    </w:p>
    <w:p w:rsidR="00381BEB" w:rsidRPr="00381BEB" w:rsidRDefault="00381BEB" w:rsidP="009F2845">
      <w:pPr>
        <w:ind w:left="567" w:hanging="567"/>
        <w:rPr>
          <w:bCs/>
        </w:rPr>
      </w:pPr>
      <w:r w:rsidRPr="00381BEB">
        <w:rPr>
          <w:bCs/>
        </w:rPr>
        <w:t>(2)</w:t>
      </w:r>
      <w:r w:rsidRPr="00381BEB">
        <w:rPr>
          <w:bCs/>
        </w:rPr>
        <w:tab/>
      </w:r>
      <w:r w:rsidR="00F82B87">
        <w:rPr>
          <w:bCs/>
        </w:rPr>
        <w:t>(</w:t>
      </w:r>
      <w:proofErr w:type="gramStart"/>
      <w:r w:rsidR="008969CC">
        <w:rPr>
          <w:bCs/>
        </w:rPr>
        <w:t>a</w:t>
      </w:r>
      <w:proofErr w:type="gramEnd"/>
      <w:r w:rsidR="008969CC">
        <w:rPr>
          <w:bCs/>
        </w:rPr>
        <w:t xml:space="preserve">) </w:t>
      </w:r>
      <w:r w:rsidR="00867AE1">
        <w:rPr>
          <w:bCs/>
        </w:rPr>
        <w:t xml:space="preserve">CIPC cannot </w:t>
      </w:r>
      <w:r w:rsidRPr="00381BEB">
        <w:rPr>
          <w:bCs/>
        </w:rPr>
        <w:t xml:space="preserve">provide </w:t>
      </w:r>
      <w:r w:rsidR="00BA5E7F">
        <w:rPr>
          <w:bCs/>
        </w:rPr>
        <w:t>B</w:t>
      </w:r>
      <w:r w:rsidR="000A073C">
        <w:rPr>
          <w:bCs/>
        </w:rPr>
        <w:t>-</w:t>
      </w:r>
      <w:r w:rsidR="00BA5E7F">
        <w:rPr>
          <w:bCs/>
        </w:rPr>
        <w:t>BBEE certificates.</w:t>
      </w:r>
      <w:r w:rsidR="009F2845">
        <w:rPr>
          <w:bCs/>
        </w:rPr>
        <w:t xml:space="preserve"> </w:t>
      </w:r>
      <w:r w:rsidR="00F82B87">
        <w:rPr>
          <w:bCs/>
        </w:rPr>
        <w:t>(</w:t>
      </w:r>
      <w:r w:rsidRPr="00381BEB">
        <w:rPr>
          <w:bCs/>
        </w:rPr>
        <w:t>b)</w:t>
      </w:r>
      <w:r w:rsidR="008969CC">
        <w:rPr>
          <w:bCs/>
        </w:rPr>
        <w:t xml:space="preserve"> </w:t>
      </w:r>
      <w:r w:rsidRPr="00381BEB">
        <w:rPr>
          <w:bCs/>
        </w:rPr>
        <w:t xml:space="preserve">CIPC </w:t>
      </w:r>
      <w:r w:rsidR="00867AE1">
        <w:rPr>
          <w:bCs/>
        </w:rPr>
        <w:t xml:space="preserve">can </w:t>
      </w:r>
      <w:r w:rsidRPr="00381BEB">
        <w:rPr>
          <w:bCs/>
        </w:rPr>
        <w:t xml:space="preserve">only provide the </w:t>
      </w:r>
      <w:r w:rsidR="00867AE1">
        <w:rPr>
          <w:bCs/>
        </w:rPr>
        <w:t>enclosed financial years statements</w:t>
      </w:r>
      <w:r w:rsidR="009F5DFC">
        <w:rPr>
          <w:bCs/>
        </w:rPr>
        <w:t xml:space="preserve"> referred to as </w:t>
      </w:r>
      <w:r w:rsidR="00061EB2">
        <w:rPr>
          <w:b/>
          <w:bCs/>
        </w:rPr>
        <w:t>Annexure B</w:t>
      </w:r>
      <w:r w:rsidR="00867AE1">
        <w:rPr>
          <w:bCs/>
        </w:rPr>
        <w:t>.</w:t>
      </w:r>
      <w:r w:rsidR="009F2845">
        <w:rPr>
          <w:bCs/>
        </w:rPr>
        <w:t xml:space="preserve"> </w:t>
      </w:r>
      <w:r w:rsidR="00F82B87">
        <w:rPr>
          <w:bCs/>
        </w:rPr>
        <w:t>(</w:t>
      </w:r>
      <w:r w:rsidR="004D2410">
        <w:rPr>
          <w:bCs/>
        </w:rPr>
        <w:t xml:space="preserve">c) </w:t>
      </w:r>
      <w:r w:rsidRPr="00381BEB">
        <w:rPr>
          <w:bCs/>
        </w:rPr>
        <w:t>CIPC can only provide Turnover from 2005 at this stage</w:t>
      </w:r>
      <w:r w:rsidR="000A073C">
        <w:rPr>
          <w:bCs/>
        </w:rPr>
        <w:t xml:space="preserve"> as per the table below</w:t>
      </w:r>
      <w:r w:rsidR="00BA5E7F">
        <w:rPr>
          <w:bCs/>
        </w:rPr>
        <w:t>.</w:t>
      </w:r>
    </w:p>
    <w:p w:rsidR="004D2410" w:rsidRDefault="004D2410" w:rsidP="00061EB2">
      <w:pPr>
        <w:ind w:left="720" w:hanging="720"/>
        <w:rPr>
          <w:bCs/>
        </w:rPr>
      </w:pPr>
      <w:r>
        <w:rPr>
          <w:bCs/>
        </w:rPr>
        <w:tab/>
      </w:r>
      <w:r>
        <w:rPr>
          <w:bCs/>
        </w:rPr>
        <w:tab/>
      </w:r>
    </w:p>
    <w:p w:rsidR="009E2679" w:rsidRDefault="009E2679" w:rsidP="00061EB2">
      <w:pPr>
        <w:ind w:left="720" w:hanging="720"/>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5"/>
        <w:gridCol w:w="4081"/>
      </w:tblGrid>
      <w:tr w:rsidR="00575FD5" w:rsidRPr="009110E9" w:rsidTr="009110E9">
        <w:tc>
          <w:tcPr>
            <w:tcW w:w="4068" w:type="dxa"/>
            <w:shd w:val="clear" w:color="auto" w:fill="92D050"/>
          </w:tcPr>
          <w:p w:rsidR="00575FD5" w:rsidRPr="009110E9" w:rsidRDefault="00575FD5" w:rsidP="009110E9">
            <w:pPr>
              <w:spacing w:before="100" w:beforeAutospacing="1" w:after="100" w:afterAutospacing="1"/>
              <w:ind w:left="1440" w:hanging="720"/>
              <w:rPr>
                <w:rFonts w:eastAsia="Calibri"/>
                <w:b/>
                <w:bCs/>
                <w:sz w:val="20"/>
                <w:szCs w:val="22"/>
              </w:rPr>
            </w:pPr>
            <w:r w:rsidRPr="009110E9">
              <w:rPr>
                <w:rFonts w:eastAsia="Calibri"/>
                <w:b/>
                <w:bCs/>
                <w:sz w:val="20"/>
                <w:szCs w:val="22"/>
              </w:rPr>
              <w:t>Year</w:t>
            </w:r>
          </w:p>
        </w:tc>
        <w:tc>
          <w:tcPr>
            <w:tcW w:w="4068" w:type="dxa"/>
            <w:shd w:val="clear" w:color="auto" w:fill="92D050"/>
          </w:tcPr>
          <w:p w:rsidR="00575FD5" w:rsidRPr="009110E9" w:rsidRDefault="00575FD5" w:rsidP="009110E9">
            <w:pPr>
              <w:spacing w:before="100" w:beforeAutospacing="1" w:after="100" w:afterAutospacing="1"/>
              <w:ind w:left="1440" w:hanging="720"/>
              <w:rPr>
                <w:rFonts w:eastAsia="Calibri"/>
                <w:b/>
                <w:bCs/>
                <w:sz w:val="20"/>
                <w:szCs w:val="22"/>
              </w:rPr>
            </w:pPr>
            <w:r w:rsidRPr="009110E9">
              <w:rPr>
                <w:rFonts w:eastAsia="Calibri"/>
                <w:b/>
                <w:bCs/>
                <w:sz w:val="20"/>
                <w:szCs w:val="22"/>
              </w:rPr>
              <w:t>Turnover total declared to CIPC</w:t>
            </w:r>
            <w:r w:rsidRPr="009110E9">
              <w:rPr>
                <w:rStyle w:val="FootnoteReference"/>
                <w:rFonts w:eastAsia="Calibri"/>
                <w:bCs/>
                <w:sz w:val="22"/>
                <w:szCs w:val="22"/>
              </w:rPr>
              <w:footnoteReference w:id="1"/>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2005</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R133 434 460</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2006</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R248 349 915</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2007</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R390 507 954</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2008</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R445 554 000</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2009</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R467 509 494</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2010</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R432 884 566</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2011</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R345 212 894</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2012</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R0</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2013</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R648 181 225</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2014</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R753 166 122</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2015</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R818 397 894</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2016</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R806 893 890</w:t>
            </w:r>
          </w:p>
        </w:tc>
      </w:tr>
      <w:tr w:rsidR="00575FD5" w:rsidRPr="009110E9" w:rsidTr="009110E9">
        <w:tc>
          <w:tcPr>
            <w:tcW w:w="4044"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2017</w:t>
            </w:r>
          </w:p>
        </w:tc>
        <w:tc>
          <w:tcPr>
            <w:tcW w:w="4092" w:type="dxa"/>
            <w:shd w:val="clear" w:color="auto" w:fill="auto"/>
          </w:tcPr>
          <w:p w:rsidR="00575FD5" w:rsidRPr="009110E9" w:rsidRDefault="00575FD5" w:rsidP="009110E9">
            <w:pPr>
              <w:spacing w:before="100" w:beforeAutospacing="1" w:after="100" w:afterAutospacing="1"/>
              <w:ind w:left="1440" w:hanging="720"/>
              <w:jc w:val="both"/>
              <w:rPr>
                <w:rFonts w:eastAsia="Calibri"/>
                <w:b/>
                <w:sz w:val="20"/>
                <w:szCs w:val="22"/>
              </w:rPr>
            </w:pPr>
            <w:r w:rsidRPr="009110E9">
              <w:rPr>
                <w:rFonts w:eastAsia="Calibri"/>
                <w:b/>
                <w:sz w:val="20"/>
                <w:szCs w:val="22"/>
              </w:rPr>
              <w:t>R115 497 288</w:t>
            </w:r>
          </w:p>
        </w:tc>
      </w:tr>
    </w:tbl>
    <w:p w:rsidR="004D2410" w:rsidRDefault="004D2410" w:rsidP="00381BEB">
      <w:pPr>
        <w:ind w:left="720" w:hanging="720"/>
        <w:rPr>
          <w:bCs/>
        </w:rPr>
      </w:pPr>
    </w:p>
    <w:p w:rsidR="004D2410" w:rsidRDefault="004D2410" w:rsidP="00381BEB">
      <w:pPr>
        <w:ind w:left="720" w:hanging="720"/>
        <w:rPr>
          <w:bCs/>
        </w:rPr>
      </w:pPr>
    </w:p>
    <w:p w:rsidR="009F2845" w:rsidRDefault="009F2845" w:rsidP="00381BEB">
      <w:pPr>
        <w:ind w:left="720" w:hanging="720"/>
        <w:rPr>
          <w:bCs/>
        </w:rPr>
      </w:pPr>
    </w:p>
    <w:bookmarkEnd w:id="0"/>
    <w:bookmarkEnd w:id="1"/>
    <w:bookmarkEnd w:id="2"/>
    <w:bookmarkEnd w:id="3"/>
    <w:bookmarkEnd w:id="4"/>
    <w:bookmarkEnd w:id="5"/>
    <w:p w:rsidR="009F2845" w:rsidRDefault="009F2845" w:rsidP="00381BEB">
      <w:pPr>
        <w:ind w:left="720" w:hanging="720"/>
        <w:rPr>
          <w:bCs/>
        </w:rPr>
      </w:pPr>
    </w:p>
    <w:sectPr w:rsidR="009F284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1A" w:rsidRDefault="0077771A" w:rsidP="00BA5E7F">
      <w:r>
        <w:separator/>
      </w:r>
    </w:p>
  </w:endnote>
  <w:endnote w:type="continuationSeparator" w:id="0">
    <w:p w:rsidR="0077771A" w:rsidRDefault="0077771A" w:rsidP="00BA5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1A" w:rsidRDefault="0077771A" w:rsidP="00BA5E7F">
      <w:r>
        <w:separator/>
      </w:r>
    </w:p>
  </w:footnote>
  <w:footnote w:type="continuationSeparator" w:id="0">
    <w:p w:rsidR="0077771A" w:rsidRDefault="0077771A" w:rsidP="00BA5E7F">
      <w:r>
        <w:continuationSeparator/>
      </w:r>
    </w:p>
  </w:footnote>
  <w:footnote w:id="1">
    <w:p w:rsidR="00575FD5" w:rsidRPr="00BA5E7F" w:rsidRDefault="00575FD5" w:rsidP="000A073C">
      <w:pPr>
        <w:pStyle w:val="FootnoteText"/>
        <w:jc w:val="both"/>
        <w:rPr>
          <w:lang w:val="en-GB"/>
        </w:rPr>
      </w:pPr>
      <w:r>
        <w:rPr>
          <w:rStyle w:val="FootnoteReference"/>
        </w:rPr>
        <w:footnoteRef/>
      </w:r>
      <w:r>
        <w:t xml:space="preserve"> </w:t>
      </w:r>
      <w:r>
        <w:rPr>
          <w:lang w:val="en-GB"/>
        </w:rPr>
        <w:t xml:space="preserve">Please note that according to the CIPC, the figures for 2015 and 2017 as provided by the companies as contained in the table </w:t>
      </w:r>
      <w:proofErr w:type="gramStart"/>
      <w:r>
        <w:rPr>
          <w:lang w:val="en-GB"/>
        </w:rPr>
        <w:t>below,</w:t>
      </w:r>
      <w:proofErr w:type="gramEnd"/>
      <w:r>
        <w:rPr>
          <w:lang w:val="en-GB"/>
        </w:rPr>
        <w:t xml:space="preserve"> differ from the recently received audited financial statements. The CIPC will be investigating the difference in figures.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D0ABB"/>
    <w:multiLevelType w:val="hybridMultilevel"/>
    <w:tmpl w:val="91248BF4"/>
    <w:lvl w:ilvl="0" w:tplc="E2EC0A26">
      <w:start w:val="1"/>
      <w:numFmt w:val="decimal"/>
      <w:lvlText w:val="(%1)"/>
      <w:lvlJc w:val="left"/>
      <w:pPr>
        <w:ind w:left="36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
    <w:nsid w:val="61123C93"/>
    <w:multiLevelType w:val="hybridMultilevel"/>
    <w:tmpl w:val="0D62C624"/>
    <w:lvl w:ilvl="0" w:tplc="49849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43475"/>
    <w:rsid w:val="00001E01"/>
    <w:rsid w:val="00023B52"/>
    <w:rsid w:val="00061EB2"/>
    <w:rsid w:val="00073639"/>
    <w:rsid w:val="000848E4"/>
    <w:rsid w:val="00086307"/>
    <w:rsid w:val="000A073C"/>
    <w:rsid w:val="000A5422"/>
    <w:rsid w:val="000B3E19"/>
    <w:rsid w:val="000C216E"/>
    <w:rsid w:val="000D21CE"/>
    <w:rsid w:val="000E1930"/>
    <w:rsid w:val="000E24F8"/>
    <w:rsid w:val="000E495B"/>
    <w:rsid w:val="001014F0"/>
    <w:rsid w:val="0012629F"/>
    <w:rsid w:val="0014091D"/>
    <w:rsid w:val="00153068"/>
    <w:rsid w:val="00165E2C"/>
    <w:rsid w:val="00196A1F"/>
    <w:rsid w:val="001A5378"/>
    <w:rsid w:val="001B45CF"/>
    <w:rsid w:val="001E0FD3"/>
    <w:rsid w:val="00202978"/>
    <w:rsid w:val="002116B8"/>
    <w:rsid w:val="002316ED"/>
    <w:rsid w:val="002450FE"/>
    <w:rsid w:val="00261D23"/>
    <w:rsid w:val="0027562C"/>
    <w:rsid w:val="002B0171"/>
    <w:rsid w:val="00333597"/>
    <w:rsid w:val="00345461"/>
    <w:rsid w:val="00372FEC"/>
    <w:rsid w:val="00381BEB"/>
    <w:rsid w:val="00395D2E"/>
    <w:rsid w:val="0039631A"/>
    <w:rsid w:val="003A3F20"/>
    <w:rsid w:val="003B3ADB"/>
    <w:rsid w:val="003E1D86"/>
    <w:rsid w:val="0043328B"/>
    <w:rsid w:val="004407EC"/>
    <w:rsid w:val="00456D26"/>
    <w:rsid w:val="00483A0B"/>
    <w:rsid w:val="004D2410"/>
    <w:rsid w:val="004D4CFE"/>
    <w:rsid w:val="004D53E0"/>
    <w:rsid w:val="004D7A74"/>
    <w:rsid w:val="004E47FF"/>
    <w:rsid w:val="0050167F"/>
    <w:rsid w:val="00547321"/>
    <w:rsid w:val="0055509B"/>
    <w:rsid w:val="00575FD5"/>
    <w:rsid w:val="005E3083"/>
    <w:rsid w:val="00601FF4"/>
    <w:rsid w:val="006367F2"/>
    <w:rsid w:val="00643475"/>
    <w:rsid w:val="00677524"/>
    <w:rsid w:val="006B2977"/>
    <w:rsid w:val="00733132"/>
    <w:rsid w:val="00772F4E"/>
    <w:rsid w:val="0077771A"/>
    <w:rsid w:val="007A5B0F"/>
    <w:rsid w:val="007B329E"/>
    <w:rsid w:val="007D12A4"/>
    <w:rsid w:val="007E4F1E"/>
    <w:rsid w:val="007E5F5E"/>
    <w:rsid w:val="007F2D0E"/>
    <w:rsid w:val="00813DF0"/>
    <w:rsid w:val="00823C62"/>
    <w:rsid w:val="00852FC7"/>
    <w:rsid w:val="00862F31"/>
    <w:rsid w:val="00867AE1"/>
    <w:rsid w:val="00872A8A"/>
    <w:rsid w:val="00893403"/>
    <w:rsid w:val="008969CC"/>
    <w:rsid w:val="008C72C6"/>
    <w:rsid w:val="008D4FC9"/>
    <w:rsid w:val="009110E9"/>
    <w:rsid w:val="00926C6F"/>
    <w:rsid w:val="0094216D"/>
    <w:rsid w:val="0095115B"/>
    <w:rsid w:val="00955F73"/>
    <w:rsid w:val="009A51EA"/>
    <w:rsid w:val="009C1487"/>
    <w:rsid w:val="009C4EE3"/>
    <w:rsid w:val="009E2679"/>
    <w:rsid w:val="009F2845"/>
    <w:rsid w:val="009F5BD7"/>
    <w:rsid w:val="009F5DFC"/>
    <w:rsid w:val="00A108F8"/>
    <w:rsid w:val="00A17DC5"/>
    <w:rsid w:val="00A32CE1"/>
    <w:rsid w:val="00A5434F"/>
    <w:rsid w:val="00A65FFC"/>
    <w:rsid w:val="00A817A7"/>
    <w:rsid w:val="00A91A39"/>
    <w:rsid w:val="00AB4DB4"/>
    <w:rsid w:val="00AE583A"/>
    <w:rsid w:val="00AE6949"/>
    <w:rsid w:val="00B35B2E"/>
    <w:rsid w:val="00B4093C"/>
    <w:rsid w:val="00B74D4F"/>
    <w:rsid w:val="00B8702F"/>
    <w:rsid w:val="00B900D2"/>
    <w:rsid w:val="00B971D4"/>
    <w:rsid w:val="00BA5E7F"/>
    <w:rsid w:val="00BA7AAB"/>
    <w:rsid w:val="00BC4B09"/>
    <w:rsid w:val="00BE0CBF"/>
    <w:rsid w:val="00C5065A"/>
    <w:rsid w:val="00C74F9E"/>
    <w:rsid w:val="00C77256"/>
    <w:rsid w:val="00C9299D"/>
    <w:rsid w:val="00CA3CF5"/>
    <w:rsid w:val="00CD261F"/>
    <w:rsid w:val="00CE5786"/>
    <w:rsid w:val="00D0362A"/>
    <w:rsid w:val="00D063F5"/>
    <w:rsid w:val="00D1362C"/>
    <w:rsid w:val="00D1470A"/>
    <w:rsid w:val="00D25D7B"/>
    <w:rsid w:val="00D321D3"/>
    <w:rsid w:val="00D3471D"/>
    <w:rsid w:val="00D53143"/>
    <w:rsid w:val="00D92CCF"/>
    <w:rsid w:val="00D97B18"/>
    <w:rsid w:val="00DB2A6F"/>
    <w:rsid w:val="00E175F2"/>
    <w:rsid w:val="00E23262"/>
    <w:rsid w:val="00E32251"/>
    <w:rsid w:val="00E4123D"/>
    <w:rsid w:val="00E61348"/>
    <w:rsid w:val="00E97598"/>
    <w:rsid w:val="00EA7B99"/>
    <w:rsid w:val="00EE2ED9"/>
    <w:rsid w:val="00EF2D59"/>
    <w:rsid w:val="00F13E7D"/>
    <w:rsid w:val="00F61CA7"/>
    <w:rsid w:val="00F7331A"/>
    <w:rsid w:val="00F82B87"/>
    <w:rsid w:val="00F97A54"/>
    <w:rsid w:val="00FA21D9"/>
    <w:rsid w:val="00FD1DF0"/>
    <w:rsid w:val="00FF1F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table" w:styleId="TableGrid">
    <w:name w:val="Table Grid"/>
    <w:basedOn w:val="TableNormal"/>
    <w:uiPriority w:val="39"/>
    <w:rsid w:val="003335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A5E7F"/>
    <w:rPr>
      <w:sz w:val="20"/>
      <w:szCs w:val="20"/>
    </w:rPr>
  </w:style>
  <w:style w:type="character" w:customStyle="1" w:styleId="FootnoteTextChar">
    <w:name w:val="Footnote Text Char"/>
    <w:link w:val="FootnoteText"/>
    <w:rsid w:val="00BA5E7F"/>
    <w:rPr>
      <w:lang w:val="en-US" w:eastAsia="en-US"/>
    </w:rPr>
  </w:style>
  <w:style w:type="character" w:styleId="FootnoteReference">
    <w:name w:val="footnote reference"/>
    <w:rsid w:val="00BA5E7F"/>
    <w:rPr>
      <w:vertAlign w:val="superscript"/>
    </w:rPr>
  </w:style>
</w:styles>
</file>

<file path=word/webSettings.xml><?xml version="1.0" encoding="utf-8"?>
<w:webSettings xmlns:r="http://schemas.openxmlformats.org/officeDocument/2006/relationships" xmlns:w="http://schemas.openxmlformats.org/wordprocessingml/2006/main">
  <w:divs>
    <w:div w:id="466439833">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2405-D87D-436C-AC64-43F32BA1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2019-02-26T09:12:00Z</cp:lastPrinted>
  <dcterms:created xsi:type="dcterms:W3CDTF">2019-03-25T13:03:00Z</dcterms:created>
  <dcterms:modified xsi:type="dcterms:W3CDTF">2019-03-25T13:03:00Z</dcterms:modified>
</cp:coreProperties>
</file>