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11341932"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93481" w:rsidRDefault="00D26F9E" w:rsidP="003E006F">
      <w:pPr>
        <w:tabs>
          <w:tab w:val="left" w:pos="2910"/>
        </w:tabs>
        <w:rPr>
          <w:b/>
          <w:sz w:val="24"/>
          <w:szCs w:val="24"/>
          <w:lang w:val="af-ZA"/>
        </w:rPr>
      </w:pPr>
      <w:r w:rsidRPr="0055709D">
        <w:rPr>
          <w:b/>
          <w:sz w:val="24"/>
          <w:szCs w:val="24"/>
        </w:rPr>
        <w:t>QUESTION NO</w:t>
      </w:r>
      <w:r w:rsidRPr="003B62B6">
        <w:rPr>
          <w:b/>
          <w:sz w:val="24"/>
          <w:szCs w:val="24"/>
        </w:rPr>
        <w:t>.:</w:t>
      </w:r>
      <w:r w:rsidR="009F5B5D" w:rsidRPr="003B62B6">
        <w:rPr>
          <w:b/>
          <w:sz w:val="24"/>
          <w:szCs w:val="24"/>
          <w:lang w:val="af-ZA"/>
        </w:rPr>
        <w:t xml:space="preserve"> </w:t>
      </w:r>
      <w:r w:rsidR="003B62B6" w:rsidRPr="003B62B6">
        <w:rPr>
          <w:b/>
          <w:sz w:val="24"/>
          <w:szCs w:val="24"/>
          <w:lang w:val="af-ZA"/>
        </w:rPr>
        <w:t>3</w:t>
      </w:r>
      <w:r w:rsidR="00B35889">
        <w:rPr>
          <w:b/>
          <w:sz w:val="24"/>
          <w:szCs w:val="24"/>
          <w:lang w:val="af-ZA"/>
        </w:rPr>
        <w:t>928</w:t>
      </w:r>
    </w:p>
    <w:p w:rsidR="003E006F" w:rsidRPr="0055709D" w:rsidRDefault="003E006F" w:rsidP="003E006F">
      <w:pPr>
        <w:tabs>
          <w:tab w:val="left" w:pos="2910"/>
        </w:tabs>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1D635E">
        <w:rPr>
          <w:b/>
          <w:sz w:val="24"/>
          <w:szCs w:val="24"/>
        </w:rPr>
        <w:t xml:space="preserve">6 </w:t>
      </w:r>
      <w:r w:rsidR="00B35889">
        <w:rPr>
          <w:b/>
          <w:sz w:val="24"/>
          <w:szCs w:val="24"/>
        </w:rPr>
        <w:t xml:space="preserve">NOVEMBER </w:t>
      </w:r>
      <w:r w:rsidR="001D635E">
        <w:rPr>
          <w:b/>
          <w:sz w:val="24"/>
          <w:szCs w:val="24"/>
        </w:rPr>
        <w:t xml:space="preserve">2015 </w:t>
      </w:r>
    </w:p>
    <w:p w:rsidR="003E006F" w:rsidRDefault="003E006F" w:rsidP="006F111A">
      <w:pPr>
        <w:rPr>
          <w:b/>
          <w:sz w:val="24"/>
          <w:szCs w:val="24"/>
        </w:rPr>
      </w:pPr>
    </w:p>
    <w:p w:rsidR="00B35889" w:rsidRPr="00B35889" w:rsidRDefault="00B35889" w:rsidP="00B35889">
      <w:pPr>
        <w:spacing w:before="100" w:beforeAutospacing="1" w:after="100" w:afterAutospacing="1"/>
        <w:ind w:left="851" w:hanging="851"/>
        <w:jc w:val="both"/>
        <w:outlineLvl w:val="0"/>
        <w:rPr>
          <w:sz w:val="24"/>
          <w:szCs w:val="24"/>
        </w:rPr>
      </w:pPr>
      <w:r w:rsidRPr="00B35889">
        <w:rPr>
          <w:b/>
          <w:sz w:val="24"/>
          <w:szCs w:val="24"/>
        </w:rPr>
        <w:t>Mr K J Mileham (DA) to ask the Minister of Human Settlements:</w:t>
      </w:r>
    </w:p>
    <w:p w:rsidR="00B35889" w:rsidRPr="00B35889" w:rsidRDefault="00B35889" w:rsidP="00B35889">
      <w:pPr>
        <w:pStyle w:val="NormalWeb"/>
        <w:spacing w:before="0" w:beforeAutospacing="0" w:after="0" w:afterAutospacing="0" w:line="360" w:lineRule="auto"/>
        <w:ind w:left="720" w:right="-142" w:hanging="720"/>
        <w:jc w:val="both"/>
        <w:rPr>
          <w:lang w:val="en-GB"/>
        </w:rPr>
      </w:pPr>
      <w:r w:rsidRPr="00B35889">
        <w:rPr>
          <w:lang w:val="en-GB"/>
        </w:rPr>
        <w:t>(1)</w:t>
      </w:r>
      <w:r w:rsidRPr="00B35889">
        <w:rPr>
          <w:lang w:val="en-GB"/>
        </w:rPr>
        <w:tab/>
        <w:t>Whether any funds allocated to the Buffalo City Metropolitan Municipality in the Eastern Cape in the 2015-16 financial year in terms of any form of grant funding from her department have been utilised for activities or programmes or purposes for which they were not intended; if not, what is her department’s position in this regard; if so, what are the relevant details in each case in terms of the (a) amount and (b) purpose for which the funds were utilised;</w:t>
      </w:r>
    </w:p>
    <w:p w:rsidR="00B35889" w:rsidRPr="00B35889" w:rsidRDefault="00B35889" w:rsidP="00B35889">
      <w:pPr>
        <w:pStyle w:val="NormalWeb"/>
        <w:spacing w:before="0" w:beforeAutospacing="0" w:after="0" w:afterAutospacing="0" w:line="360" w:lineRule="auto"/>
        <w:ind w:left="720" w:right="-142" w:hanging="720"/>
        <w:jc w:val="both"/>
        <w:rPr>
          <w:lang w:val="en-GB"/>
        </w:rPr>
      </w:pPr>
      <w:r w:rsidRPr="00B35889">
        <w:rPr>
          <w:lang w:val="en-GB"/>
        </w:rPr>
        <w:t>(2)</w:t>
      </w:r>
      <w:r w:rsidRPr="00B35889">
        <w:rPr>
          <w:lang w:val="en-GB"/>
        </w:rPr>
        <w:tab/>
        <w:t>whether her department has a policy that prohibits the misuse of grant funding intended for human settlements purposes; if not, what is the position in this regard; if so, what steps will she take in this regard;</w:t>
      </w:r>
    </w:p>
    <w:p w:rsidR="00B35889" w:rsidRPr="00771850" w:rsidRDefault="00B35889" w:rsidP="00B35889">
      <w:pPr>
        <w:pStyle w:val="NormalWeb"/>
        <w:ind w:right="-142"/>
        <w:jc w:val="both"/>
        <w:rPr>
          <w:lang w:val="en-GB"/>
        </w:rPr>
      </w:pPr>
      <w:r w:rsidRPr="00B35889">
        <w:rPr>
          <w:lang w:val="en-GB"/>
        </w:rPr>
        <w:t>(3)</w:t>
      </w:r>
      <w:r w:rsidRPr="00B35889">
        <w:rPr>
          <w:lang w:val="en-GB"/>
        </w:rPr>
        <w:tab/>
        <w:t>whether she will make a statement on this matter?</w:t>
      </w:r>
      <w:r w:rsidRPr="00771850">
        <w:rPr>
          <w:lang w:val="en-GB"/>
        </w:rPr>
        <w:tab/>
      </w:r>
      <w:r w:rsidRPr="00771850">
        <w:rPr>
          <w:lang w:val="en-GB"/>
        </w:rPr>
        <w:tab/>
      </w:r>
      <w:r>
        <w:rPr>
          <w:lang w:val="en-GB"/>
        </w:rPr>
        <w:tab/>
      </w:r>
      <w:r>
        <w:rPr>
          <w:lang w:val="en-GB"/>
        </w:rPr>
        <w:tab/>
      </w:r>
      <w:r>
        <w:rPr>
          <w:lang w:val="en-GB"/>
        </w:rPr>
        <w:tab/>
        <w:t xml:space="preserve">           </w:t>
      </w:r>
      <w:r w:rsidRPr="00B35889">
        <w:rPr>
          <w:b/>
          <w:sz w:val="20"/>
          <w:szCs w:val="20"/>
          <w:lang w:val="en-GB"/>
        </w:rPr>
        <w:t>NW4793E</w:t>
      </w:r>
    </w:p>
    <w:p w:rsidR="003B62B6" w:rsidRDefault="003B62B6" w:rsidP="006212FF">
      <w:pPr>
        <w:tabs>
          <w:tab w:val="left" w:pos="432"/>
          <w:tab w:val="left" w:pos="864"/>
        </w:tabs>
        <w:spacing w:before="100" w:beforeAutospacing="1" w:line="360" w:lineRule="auto"/>
        <w:rPr>
          <w:rFonts w:ascii="Arial" w:hAnsi="Arial" w:cs="Arial"/>
          <w:b/>
          <w:sz w:val="22"/>
          <w:szCs w:val="22"/>
        </w:rPr>
      </w:pPr>
    </w:p>
    <w:p w:rsidR="006212FF" w:rsidRDefault="005959BD" w:rsidP="006212FF">
      <w:pPr>
        <w:tabs>
          <w:tab w:val="left" w:pos="432"/>
          <w:tab w:val="left" w:pos="864"/>
        </w:tabs>
        <w:spacing w:before="100" w:beforeAutospacing="1" w:line="360" w:lineRule="auto"/>
        <w:rPr>
          <w:rFonts w:ascii="Arial" w:hAnsi="Arial" w:cs="Arial"/>
          <w:b/>
          <w:sz w:val="22"/>
          <w:szCs w:val="22"/>
        </w:rPr>
      </w:pPr>
      <w:r>
        <w:rPr>
          <w:rFonts w:ascii="Arial" w:hAnsi="Arial" w:cs="Arial"/>
          <w:b/>
          <w:sz w:val="22"/>
          <w:szCs w:val="22"/>
        </w:rPr>
        <w:t>R</w:t>
      </w:r>
      <w:r w:rsidR="006212FF" w:rsidRPr="0040406A">
        <w:rPr>
          <w:rFonts w:ascii="Arial" w:hAnsi="Arial" w:cs="Arial"/>
          <w:b/>
          <w:sz w:val="22"/>
          <w:szCs w:val="22"/>
        </w:rPr>
        <w:t>EPLY:</w:t>
      </w:r>
    </w:p>
    <w:p w:rsidR="000F4906" w:rsidRPr="000F4906" w:rsidRDefault="004E1B6C" w:rsidP="004E1B6C">
      <w:pPr>
        <w:spacing w:line="360" w:lineRule="auto"/>
        <w:ind w:left="720" w:hanging="720"/>
        <w:jc w:val="both"/>
        <w:rPr>
          <w:sz w:val="24"/>
          <w:szCs w:val="24"/>
        </w:rPr>
      </w:pPr>
      <w:r>
        <w:rPr>
          <w:sz w:val="24"/>
          <w:szCs w:val="24"/>
        </w:rPr>
        <w:t>(1)</w:t>
      </w:r>
      <w:r>
        <w:rPr>
          <w:sz w:val="24"/>
          <w:szCs w:val="24"/>
        </w:rPr>
        <w:tab/>
      </w:r>
      <w:r w:rsidR="000F4906" w:rsidRPr="000F4906">
        <w:rPr>
          <w:sz w:val="24"/>
          <w:szCs w:val="24"/>
        </w:rPr>
        <w:t>Buffalo City Metropolitan Municipality (BCMM) was allocated R713.1 million for the 2015/16 financial year and R285.3 million was transferred to the municipality on the 9</w:t>
      </w:r>
      <w:r w:rsidR="000F4906" w:rsidRPr="000F4906">
        <w:rPr>
          <w:sz w:val="24"/>
          <w:szCs w:val="24"/>
          <w:vertAlign w:val="superscript"/>
        </w:rPr>
        <w:t>th</w:t>
      </w:r>
      <w:r w:rsidR="000F4906" w:rsidRPr="000F4906">
        <w:rPr>
          <w:sz w:val="24"/>
          <w:szCs w:val="24"/>
        </w:rPr>
        <w:t xml:space="preserve"> of July 2015. The municipality spent an amount of R69.1 million on Urban Settlements Development Grant (USDG) programmes as outlined in the table below as at 30 September 2015. The National Department of Human Settlements is therefore not aware of any funds allocated to BCMM in the 2015-16 financial year that have been utilised for activities or programmes or purposes for which they were not intended. </w:t>
      </w:r>
    </w:p>
    <w:p w:rsidR="000F4906" w:rsidRPr="000F4906" w:rsidRDefault="000F4906" w:rsidP="000F4906">
      <w:pPr>
        <w:spacing w:line="360" w:lineRule="auto"/>
        <w:ind w:left="1080"/>
        <w:jc w:val="both"/>
        <w:rPr>
          <w:sz w:val="24"/>
          <w:szCs w:val="24"/>
        </w:rPr>
      </w:pPr>
    </w:p>
    <w:p w:rsidR="000F4906" w:rsidRPr="000F4906" w:rsidRDefault="000F4906" w:rsidP="004E1B6C">
      <w:pPr>
        <w:spacing w:line="360" w:lineRule="auto"/>
        <w:ind w:left="720"/>
        <w:jc w:val="both"/>
        <w:rPr>
          <w:sz w:val="24"/>
          <w:szCs w:val="24"/>
        </w:rPr>
      </w:pPr>
      <w:r w:rsidRPr="000F4906">
        <w:rPr>
          <w:sz w:val="24"/>
          <w:szCs w:val="24"/>
        </w:rPr>
        <w:lastRenderedPageBreak/>
        <w:t>The department</w:t>
      </w:r>
      <w:r w:rsidR="00C40930">
        <w:rPr>
          <w:sz w:val="24"/>
          <w:szCs w:val="24"/>
        </w:rPr>
        <w:t xml:space="preserve">al information </w:t>
      </w:r>
      <w:r w:rsidRPr="000F4906">
        <w:rPr>
          <w:sz w:val="24"/>
          <w:szCs w:val="24"/>
        </w:rPr>
        <w:t xml:space="preserve">is that the funds were budgeted and spent </w:t>
      </w:r>
      <w:r w:rsidR="00C40930">
        <w:rPr>
          <w:sz w:val="24"/>
          <w:szCs w:val="24"/>
        </w:rPr>
        <w:t xml:space="preserve">for the </w:t>
      </w:r>
      <w:r w:rsidRPr="000F4906">
        <w:rPr>
          <w:sz w:val="24"/>
          <w:szCs w:val="24"/>
        </w:rPr>
        <w:t>purposes which are illustrated below as at 30 September 2015:</w:t>
      </w:r>
    </w:p>
    <w:p w:rsidR="000F4906" w:rsidRPr="000F4906" w:rsidRDefault="000F4906" w:rsidP="000F4906">
      <w:pPr>
        <w:spacing w:line="360" w:lineRule="auto"/>
        <w:jc w:val="both"/>
        <w:rPr>
          <w:sz w:val="24"/>
          <w:szCs w:val="24"/>
        </w:rPr>
      </w:pPr>
    </w:p>
    <w:p w:rsidR="000F4906" w:rsidRPr="000F4906" w:rsidRDefault="00C622E3" w:rsidP="000F4906">
      <w:pPr>
        <w:spacing w:line="360" w:lineRule="auto"/>
        <w:ind w:left="1080"/>
        <w:jc w:val="both"/>
        <w:rPr>
          <w:sz w:val="24"/>
          <w:szCs w:val="24"/>
        </w:rPr>
      </w:pPr>
      <w:r>
        <w:rPr>
          <w:noProof/>
          <w:sz w:val="24"/>
          <w:szCs w:val="24"/>
          <w:lang w:val="en-ZA" w:eastAsia="en-ZA"/>
        </w:rPr>
        <w:drawing>
          <wp:inline distT="0" distB="0" distL="0" distR="0">
            <wp:extent cx="5810250" cy="23812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810250" cy="2381250"/>
                    </a:xfrm>
                    <a:prstGeom prst="rect">
                      <a:avLst/>
                    </a:prstGeom>
                    <a:noFill/>
                    <a:ln w="9525">
                      <a:noFill/>
                      <a:miter lim="800000"/>
                      <a:headEnd/>
                      <a:tailEnd/>
                    </a:ln>
                  </pic:spPr>
                </pic:pic>
              </a:graphicData>
            </a:graphic>
          </wp:inline>
        </w:drawing>
      </w:r>
    </w:p>
    <w:p w:rsidR="000F4906" w:rsidRPr="004E1B6C" w:rsidRDefault="004E1B6C" w:rsidP="004E1B6C">
      <w:pPr>
        <w:spacing w:line="360" w:lineRule="auto"/>
        <w:ind w:left="1080"/>
        <w:jc w:val="both"/>
        <w:rPr>
          <w:sz w:val="24"/>
          <w:szCs w:val="24"/>
        </w:rPr>
      </w:pPr>
      <w:r>
        <w:rPr>
          <w:sz w:val="24"/>
          <w:szCs w:val="24"/>
        </w:rPr>
        <w:t xml:space="preserve"> </w:t>
      </w:r>
    </w:p>
    <w:p w:rsidR="000F4906" w:rsidRDefault="004E1B6C" w:rsidP="004E1B6C">
      <w:pPr>
        <w:spacing w:line="360" w:lineRule="auto"/>
        <w:ind w:left="720" w:hanging="720"/>
        <w:jc w:val="both"/>
        <w:rPr>
          <w:sz w:val="24"/>
          <w:szCs w:val="24"/>
        </w:rPr>
      </w:pPr>
      <w:r>
        <w:rPr>
          <w:sz w:val="24"/>
          <w:szCs w:val="24"/>
        </w:rPr>
        <w:t>(2)</w:t>
      </w:r>
      <w:r>
        <w:rPr>
          <w:sz w:val="24"/>
          <w:szCs w:val="24"/>
        </w:rPr>
        <w:tab/>
      </w:r>
      <w:r w:rsidR="00C40930">
        <w:rPr>
          <w:sz w:val="24"/>
          <w:szCs w:val="24"/>
        </w:rPr>
        <w:t>T</w:t>
      </w:r>
      <w:r w:rsidR="000F4906" w:rsidRPr="000F4906">
        <w:rPr>
          <w:sz w:val="24"/>
          <w:szCs w:val="24"/>
        </w:rPr>
        <w:t xml:space="preserve">he department has </w:t>
      </w:r>
      <w:r w:rsidR="00C40930">
        <w:rPr>
          <w:sz w:val="24"/>
          <w:szCs w:val="24"/>
        </w:rPr>
        <w:t xml:space="preserve">utilises the </w:t>
      </w:r>
      <w:r w:rsidR="000F4906" w:rsidRPr="000F4906">
        <w:rPr>
          <w:sz w:val="24"/>
          <w:szCs w:val="24"/>
        </w:rPr>
        <w:t>USDG Framework and Division of Revenue Act No.1 of 2015</w:t>
      </w:r>
      <w:r w:rsidR="00C40930">
        <w:rPr>
          <w:sz w:val="24"/>
          <w:szCs w:val="24"/>
        </w:rPr>
        <w:t xml:space="preserve"> to regulate the use of its grants</w:t>
      </w:r>
      <w:r w:rsidR="000F4906" w:rsidRPr="000F4906">
        <w:rPr>
          <w:sz w:val="24"/>
          <w:szCs w:val="24"/>
        </w:rPr>
        <w:t xml:space="preserve">. The Grant Framework </w:t>
      </w:r>
      <w:r w:rsidR="00C40930">
        <w:rPr>
          <w:sz w:val="24"/>
          <w:szCs w:val="24"/>
        </w:rPr>
        <w:t xml:space="preserve">and the USDG Policy </w:t>
      </w:r>
      <w:r w:rsidR="000F4906" w:rsidRPr="000F4906">
        <w:rPr>
          <w:sz w:val="24"/>
          <w:szCs w:val="24"/>
        </w:rPr>
        <w:t>clearly outlines</w:t>
      </w:r>
      <w:r w:rsidR="00C40930">
        <w:rPr>
          <w:sz w:val="24"/>
          <w:szCs w:val="24"/>
        </w:rPr>
        <w:t xml:space="preserve"> and guides municipalities on the scope of the utilisation of the USDG and this includes:</w:t>
      </w:r>
    </w:p>
    <w:p w:rsidR="00C40930" w:rsidRPr="000F4906" w:rsidRDefault="00C40930" w:rsidP="004E1B6C">
      <w:pPr>
        <w:spacing w:line="360" w:lineRule="auto"/>
        <w:ind w:left="720" w:hanging="720"/>
        <w:jc w:val="both"/>
        <w:rPr>
          <w:sz w:val="24"/>
          <w:szCs w:val="24"/>
        </w:rPr>
      </w:pPr>
    </w:p>
    <w:p w:rsidR="000F4906" w:rsidRPr="000F4906" w:rsidRDefault="000F4906" w:rsidP="000F4906">
      <w:pPr>
        <w:pStyle w:val="ListParagraph"/>
        <w:numPr>
          <w:ilvl w:val="0"/>
          <w:numId w:val="4"/>
        </w:numPr>
        <w:spacing w:line="360" w:lineRule="auto"/>
        <w:contextualSpacing/>
        <w:jc w:val="both"/>
        <w:rPr>
          <w:sz w:val="24"/>
          <w:szCs w:val="24"/>
          <w:lang w:val="en-US"/>
        </w:rPr>
      </w:pPr>
      <w:r w:rsidRPr="000F4906">
        <w:rPr>
          <w:sz w:val="24"/>
          <w:szCs w:val="24"/>
          <w:lang w:val="en-US"/>
        </w:rPr>
        <w:t xml:space="preserve">Increase in </w:t>
      </w:r>
      <w:r w:rsidRPr="000F4906">
        <w:rPr>
          <w:bCs/>
          <w:iCs/>
          <w:sz w:val="24"/>
          <w:szCs w:val="24"/>
          <w:lang w:val="en-US"/>
        </w:rPr>
        <w:t>bulk</w:t>
      </w:r>
      <w:r w:rsidRPr="000F4906">
        <w:rPr>
          <w:bCs/>
          <w:sz w:val="24"/>
          <w:szCs w:val="24"/>
          <w:lang w:val="en-US"/>
        </w:rPr>
        <w:t xml:space="preserve"> </w:t>
      </w:r>
      <w:r w:rsidRPr="000F4906">
        <w:rPr>
          <w:bCs/>
          <w:iCs/>
          <w:sz w:val="24"/>
          <w:szCs w:val="24"/>
          <w:lang w:val="en-US"/>
        </w:rPr>
        <w:t>infrastructure capacity</w:t>
      </w:r>
    </w:p>
    <w:p w:rsidR="000F4906" w:rsidRPr="000F4906" w:rsidRDefault="000F4906" w:rsidP="000F4906">
      <w:pPr>
        <w:pStyle w:val="ListParagraph"/>
        <w:numPr>
          <w:ilvl w:val="0"/>
          <w:numId w:val="4"/>
        </w:numPr>
        <w:spacing w:line="360" w:lineRule="auto"/>
        <w:contextualSpacing/>
        <w:jc w:val="both"/>
        <w:rPr>
          <w:sz w:val="24"/>
          <w:szCs w:val="24"/>
          <w:lang w:val="en-US"/>
        </w:rPr>
      </w:pPr>
      <w:r w:rsidRPr="000F4906">
        <w:rPr>
          <w:sz w:val="24"/>
          <w:szCs w:val="24"/>
          <w:lang w:val="en-US"/>
        </w:rPr>
        <w:t xml:space="preserve">Increase in the </w:t>
      </w:r>
      <w:r w:rsidRPr="000F4906">
        <w:rPr>
          <w:bCs/>
          <w:iCs/>
          <w:sz w:val="24"/>
          <w:szCs w:val="24"/>
          <w:lang w:val="en-US"/>
        </w:rPr>
        <w:t>basic services to poor households, specifically in informal settlements, including water, sanitation, electricity, refuse removal and transport access</w:t>
      </w:r>
    </w:p>
    <w:p w:rsidR="000F4906" w:rsidRPr="000F4906" w:rsidRDefault="000F4906" w:rsidP="000F4906">
      <w:pPr>
        <w:pStyle w:val="ListParagraph"/>
        <w:numPr>
          <w:ilvl w:val="0"/>
          <w:numId w:val="4"/>
        </w:numPr>
        <w:spacing w:line="360" w:lineRule="auto"/>
        <w:contextualSpacing/>
        <w:jc w:val="both"/>
        <w:rPr>
          <w:sz w:val="24"/>
          <w:szCs w:val="24"/>
          <w:lang w:val="en-US"/>
        </w:rPr>
      </w:pPr>
      <w:r w:rsidRPr="000F4906">
        <w:rPr>
          <w:sz w:val="24"/>
          <w:szCs w:val="24"/>
          <w:lang w:val="en-US"/>
        </w:rPr>
        <w:t xml:space="preserve">Increase in </w:t>
      </w:r>
      <w:r w:rsidRPr="000F4906">
        <w:rPr>
          <w:bCs/>
          <w:iCs/>
          <w:sz w:val="24"/>
          <w:szCs w:val="24"/>
          <w:lang w:val="en-US"/>
        </w:rPr>
        <w:t>land provision for informal settlement upgrading, subsidy housing, or mixed use development in support of catalytic projects</w:t>
      </w:r>
    </w:p>
    <w:p w:rsidR="000F4906" w:rsidRPr="000F4906" w:rsidRDefault="000F4906" w:rsidP="000F4906">
      <w:pPr>
        <w:pStyle w:val="ListParagraph"/>
        <w:numPr>
          <w:ilvl w:val="0"/>
          <w:numId w:val="4"/>
        </w:numPr>
        <w:spacing w:line="360" w:lineRule="auto"/>
        <w:contextualSpacing/>
        <w:jc w:val="both"/>
        <w:rPr>
          <w:sz w:val="24"/>
          <w:szCs w:val="24"/>
          <w:lang w:val="en-US"/>
        </w:rPr>
      </w:pPr>
      <w:r w:rsidRPr="000F4906">
        <w:rPr>
          <w:sz w:val="24"/>
          <w:szCs w:val="24"/>
          <w:lang w:val="en-US"/>
        </w:rPr>
        <w:t xml:space="preserve">Increase in </w:t>
      </w:r>
      <w:r w:rsidRPr="000F4906">
        <w:rPr>
          <w:bCs/>
          <w:iCs/>
          <w:sz w:val="24"/>
          <w:szCs w:val="24"/>
          <w:lang w:val="en-US"/>
        </w:rPr>
        <w:t>access to socio-economic amenities</w:t>
      </w:r>
    </w:p>
    <w:p w:rsidR="000F4906" w:rsidRPr="000F4906" w:rsidRDefault="000F4906" w:rsidP="000F4906">
      <w:pPr>
        <w:pStyle w:val="ListParagraph"/>
        <w:numPr>
          <w:ilvl w:val="0"/>
          <w:numId w:val="4"/>
        </w:numPr>
        <w:spacing w:line="360" w:lineRule="auto"/>
        <w:contextualSpacing/>
        <w:jc w:val="both"/>
        <w:rPr>
          <w:sz w:val="24"/>
          <w:szCs w:val="24"/>
          <w:lang w:val="en-US"/>
        </w:rPr>
      </w:pPr>
      <w:r w:rsidRPr="000F4906">
        <w:rPr>
          <w:sz w:val="24"/>
          <w:szCs w:val="24"/>
          <w:lang w:val="en-US"/>
        </w:rPr>
        <w:t xml:space="preserve">Improved </w:t>
      </w:r>
      <w:r w:rsidRPr="000F4906">
        <w:rPr>
          <w:bCs/>
          <w:iCs/>
          <w:sz w:val="24"/>
          <w:szCs w:val="24"/>
          <w:lang w:val="en-US"/>
        </w:rPr>
        <w:t>dwelling unit densities within an improved spatial integration framework</w:t>
      </w:r>
    </w:p>
    <w:p w:rsidR="000F4906" w:rsidRPr="000F4906" w:rsidRDefault="000F4906" w:rsidP="000F4906">
      <w:pPr>
        <w:pStyle w:val="ListParagraph"/>
        <w:spacing w:line="360" w:lineRule="auto"/>
        <w:ind w:left="1800"/>
        <w:jc w:val="both"/>
        <w:rPr>
          <w:bCs/>
          <w:iCs/>
          <w:sz w:val="24"/>
          <w:szCs w:val="24"/>
          <w:lang w:val="en-US"/>
        </w:rPr>
      </w:pPr>
    </w:p>
    <w:p w:rsidR="000F4906" w:rsidRDefault="00C40930" w:rsidP="004E1B6C">
      <w:pPr>
        <w:spacing w:line="360" w:lineRule="auto"/>
        <w:ind w:left="720"/>
        <w:jc w:val="both"/>
        <w:rPr>
          <w:bCs/>
          <w:iCs/>
          <w:sz w:val="24"/>
          <w:szCs w:val="24"/>
          <w:lang w:val="en-US"/>
        </w:rPr>
      </w:pPr>
      <w:r>
        <w:rPr>
          <w:bCs/>
          <w:iCs/>
          <w:sz w:val="24"/>
          <w:szCs w:val="24"/>
          <w:lang w:val="en-US"/>
        </w:rPr>
        <w:t xml:space="preserve">The </w:t>
      </w:r>
      <w:r w:rsidR="000F4906" w:rsidRPr="000F4906">
        <w:rPr>
          <w:bCs/>
          <w:iCs/>
          <w:sz w:val="24"/>
          <w:szCs w:val="24"/>
          <w:lang w:val="en-US"/>
        </w:rPr>
        <w:t>Division of the Revenue Act Section 17 (1) states that “despite anything to the contrary in any other legislation, an allocation referred to in Schedules 4 to 7 may only be utilised for the purpose stipulated in the Schedule concerned and in accordance with the applicable framework section”. Section 18(1) states that “a transferring officer may withhold the transfer of a schedule 4 or 5 allocation or any portion thereof, for a period not exceeding 30 days if (a) the province or municipality does not comply with any provision of this Act.</w:t>
      </w:r>
    </w:p>
    <w:p w:rsidR="00506F79" w:rsidRDefault="00506F79" w:rsidP="004E1B6C">
      <w:pPr>
        <w:spacing w:line="360" w:lineRule="auto"/>
        <w:ind w:left="720"/>
        <w:jc w:val="both"/>
        <w:rPr>
          <w:bCs/>
          <w:iCs/>
          <w:sz w:val="24"/>
          <w:szCs w:val="24"/>
          <w:lang w:val="en-US"/>
        </w:rPr>
      </w:pPr>
    </w:p>
    <w:p w:rsidR="00C40930" w:rsidRPr="00C40930" w:rsidRDefault="00C40930" w:rsidP="00C40930">
      <w:pPr>
        <w:spacing w:line="360" w:lineRule="auto"/>
        <w:ind w:left="1080"/>
        <w:jc w:val="both"/>
        <w:rPr>
          <w:bCs/>
          <w:iCs/>
          <w:sz w:val="24"/>
          <w:szCs w:val="24"/>
          <w:lang w:val="en-US"/>
        </w:rPr>
      </w:pPr>
      <w:r w:rsidRPr="00C40930">
        <w:rPr>
          <w:bCs/>
          <w:iCs/>
          <w:sz w:val="24"/>
          <w:szCs w:val="24"/>
          <w:lang w:val="en-US"/>
        </w:rPr>
        <w:lastRenderedPageBreak/>
        <w:t>It is to be noted that in terms of relevant procedure</w:t>
      </w:r>
      <w:r>
        <w:rPr>
          <w:bCs/>
          <w:iCs/>
          <w:sz w:val="24"/>
          <w:szCs w:val="24"/>
          <w:lang w:val="en-US"/>
        </w:rPr>
        <w:t>,</w:t>
      </w:r>
      <w:r w:rsidRPr="00C40930">
        <w:rPr>
          <w:bCs/>
          <w:iCs/>
          <w:sz w:val="24"/>
          <w:szCs w:val="24"/>
          <w:lang w:val="en-US"/>
        </w:rPr>
        <w:t xml:space="preserve"> the Auditor-General also audits expenditure and application of grants by Provinces and Municipalities and these reports are provided to the Department and will be used take corrective action if there is misuse of the grants.</w:t>
      </w:r>
    </w:p>
    <w:p w:rsidR="00C40930" w:rsidRPr="00C40930" w:rsidRDefault="00C40930" w:rsidP="00C40930">
      <w:pPr>
        <w:spacing w:line="360" w:lineRule="auto"/>
        <w:ind w:left="1080"/>
        <w:jc w:val="both"/>
        <w:rPr>
          <w:bCs/>
          <w:iCs/>
          <w:sz w:val="24"/>
          <w:szCs w:val="24"/>
          <w:lang w:val="en-US"/>
        </w:rPr>
      </w:pPr>
    </w:p>
    <w:p w:rsidR="00C40930" w:rsidRPr="00C40930" w:rsidRDefault="00C40930" w:rsidP="00C40930">
      <w:pPr>
        <w:spacing w:line="360" w:lineRule="auto"/>
        <w:ind w:left="1080"/>
        <w:jc w:val="both"/>
        <w:rPr>
          <w:bCs/>
          <w:iCs/>
          <w:sz w:val="24"/>
          <w:szCs w:val="24"/>
          <w:lang w:val="en-US"/>
        </w:rPr>
      </w:pPr>
      <w:r w:rsidRPr="00C40930">
        <w:rPr>
          <w:bCs/>
          <w:iCs/>
          <w:sz w:val="24"/>
          <w:szCs w:val="24"/>
          <w:lang w:val="en-US"/>
        </w:rPr>
        <w:t xml:space="preserve">The Department through its Financial and Monitoring and Evaluation units also undertake quarterly visits as well as quarter review sessions with municipalities and provinces, and these also present the Department with an early warning opportunity if there is inappropriate use of grants. </w:t>
      </w:r>
    </w:p>
    <w:p w:rsidR="00C40930" w:rsidRDefault="00C40930" w:rsidP="004E1B6C">
      <w:pPr>
        <w:spacing w:line="360" w:lineRule="auto"/>
        <w:ind w:left="720"/>
        <w:jc w:val="both"/>
        <w:rPr>
          <w:bCs/>
          <w:iCs/>
          <w:sz w:val="24"/>
          <w:szCs w:val="24"/>
          <w:lang w:val="en-US"/>
        </w:rPr>
      </w:pPr>
    </w:p>
    <w:p w:rsidR="00C40930" w:rsidRDefault="00C40930" w:rsidP="004E1B6C">
      <w:pPr>
        <w:spacing w:line="360" w:lineRule="auto"/>
        <w:ind w:left="720"/>
        <w:jc w:val="both"/>
        <w:rPr>
          <w:bCs/>
          <w:iCs/>
          <w:sz w:val="24"/>
          <w:szCs w:val="24"/>
          <w:lang w:val="en-US"/>
        </w:rPr>
      </w:pPr>
    </w:p>
    <w:p w:rsidR="004E1B6C" w:rsidRDefault="004E1B6C" w:rsidP="008D1767">
      <w:pPr>
        <w:spacing w:line="360" w:lineRule="auto"/>
        <w:ind w:left="720" w:hanging="720"/>
        <w:jc w:val="both"/>
        <w:rPr>
          <w:bCs/>
          <w:iCs/>
          <w:sz w:val="24"/>
          <w:szCs w:val="24"/>
          <w:lang w:val="en-US"/>
        </w:rPr>
      </w:pPr>
      <w:r>
        <w:rPr>
          <w:bCs/>
          <w:iCs/>
          <w:sz w:val="24"/>
          <w:szCs w:val="24"/>
          <w:lang w:val="en-US"/>
        </w:rPr>
        <w:t>(3)</w:t>
      </w:r>
      <w:r>
        <w:rPr>
          <w:bCs/>
          <w:iCs/>
          <w:sz w:val="24"/>
          <w:szCs w:val="24"/>
          <w:lang w:val="en-US"/>
        </w:rPr>
        <w:tab/>
        <w:t>No.</w:t>
      </w:r>
      <w:r w:rsidR="008D1767">
        <w:rPr>
          <w:bCs/>
          <w:iCs/>
          <w:sz w:val="24"/>
          <w:szCs w:val="24"/>
          <w:lang w:val="en-US"/>
        </w:rPr>
        <w:t xml:space="preserve"> However, the Honourable member is encouraged to provide me with details regarding </w:t>
      </w:r>
      <w:r w:rsidR="00D5681D">
        <w:rPr>
          <w:bCs/>
          <w:iCs/>
          <w:sz w:val="24"/>
          <w:szCs w:val="24"/>
          <w:lang w:val="en-US"/>
        </w:rPr>
        <w:t>his area</w:t>
      </w:r>
      <w:r w:rsidR="008D1767">
        <w:rPr>
          <w:bCs/>
          <w:iCs/>
          <w:sz w:val="24"/>
          <w:szCs w:val="24"/>
          <w:lang w:val="en-US"/>
        </w:rPr>
        <w:t xml:space="preserve"> of concern. </w:t>
      </w:r>
    </w:p>
    <w:p w:rsidR="008D1767" w:rsidRPr="000F4906" w:rsidRDefault="008D1767" w:rsidP="004E1B6C">
      <w:pPr>
        <w:spacing w:line="360" w:lineRule="auto"/>
        <w:jc w:val="both"/>
        <w:rPr>
          <w:bCs/>
          <w:iCs/>
          <w:sz w:val="24"/>
          <w:szCs w:val="24"/>
          <w:lang w:val="en-US"/>
        </w:rPr>
      </w:pPr>
    </w:p>
    <w:sectPr w:rsidR="008D1767" w:rsidRPr="000F4906" w:rsidSect="005234F9">
      <w:headerReference w:type="default" r:id="rId10"/>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964" w:rsidRDefault="000C2964" w:rsidP="00054FEC">
      <w:r>
        <w:separator/>
      </w:r>
    </w:p>
  </w:endnote>
  <w:endnote w:type="continuationSeparator" w:id="0">
    <w:p w:rsidR="000C2964" w:rsidRDefault="000C2964"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964" w:rsidRDefault="000C2964" w:rsidP="00054FEC">
      <w:r>
        <w:separator/>
      </w:r>
    </w:p>
  </w:footnote>
  <w:footnote w:type="continuationSeparator" w:id="0">
    <w:p w:rsidR="000C2964" w:rsidRDefault="000C2964"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667FF7">
      <w:t>3</w:t>
    </w:r>
    <w:r w:rsidR="00B35889">
      <w:t>928</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3053D0"/>
    <w:multiLevelType w:val="hybridMultilevel"/>
    <w:tmpl w:val="7EECC2D2"/>
    <w:lvl w:ilvl="0" w:tplc="65E8F1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DD01BB"/>
    <w:multiLevelType w:val="hybridMultilevel"/>
    <w:tmpl w:val="0C0EC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C5B"/>
    <w:rsid w:val="000535C3"/>
    <w:rsid w:val="000542DB"/>
    <w:rsid w:val="0005441D"/>
    <w:rsid w:val="00054FEC"/>
    <w:rsid w:val="0005651C"/>
    <w:rsid w:val="00061B5C"/>
    <w:rsid w:val="0007347C"/>
    <w:rsid w:val="00084A46"/>
    <w:rsid w:val="00085A2A"/>
    <w:rsid w:val="000874C5"/>
    <w:rsid w:val="00093481"/>
    <w:rsid w:val="000A65E1"/>
    <w:rsid w:val="000B2098"/>
    <w:rsid w:val="000B4AC5"/>
    <w:rsid w:val="000B74C2"/>
    <w:rsid w:val="000C2964"/>
    <w:rsid w:val="000C37CD"/>
    <w:rsid w:val="000D5E18"/>
    <w:rsid w:val="000D79C5"/>
    <w:rsid w:val="000E238C"/>
    <w:rsid w:val="000E3FFE"/>
    <w:rsid w:val="000F4906"/>
    <w:rsid w:val="000F7647"/>
    <w:rsid w:val="001005E9"/>
    <w:rsid w:val="00106503"/>
    <w:rsid w:val="001111F2"/>
    <w:rsid w:val="001221DD"/>
    <w:rsid w:val="0012375B"/>
    <w:rsid w:val="00131BFD"/>
    <w:rsid w:val="001336BF"/>
    <w:rsid w:val="001355B6"/>
    <w:rsid w:val="00143801"/>
    <w:rsid w:val="00150DDB"/>
    <w:rsid w:val="001726E8"/>
    <w:rsid w:val="001829D1"/>
    <w:rsid w:val="00183267"/>
    <w:rsid w:val="001842EE"/>
    <w:rsid w:val="00185C4D"/>
    <w:rsid w:val="0019692B"/>
    <w:rsid w:val="001A1C58"/>
    <w:rsid w:val="001A2615"/>
    <w:rsid w:val="001A2B06"/>
    <w:rsid w:val="001A37B9"/>
    <w:rsid w:val="001B46D4"/>
    <w:rsid w:val="001B526A"/>
    <w:rsid w:val="001C51E0"/>
    <w:rsid w:val="001D635E"/>
    <w:rsid w:val="001E5F6F"/>
    <w:rsid w:val="001E6B0B"/>
    <w:rsid w:val="001F17FC"/>
    <w:rsid w:val="001F2FF3"/>
    <w:rsid w:val="001F3F78"/>
    <w:rsid w:val="00203262"/>
    <w:rsid w:val="00221ABD"/>
    <w:rsid w:val="0023124F"/>
    <w:rsid w:val="0023210D"/>
    <w:rsid w:val="0024129E"/>
    <w:rsid w:val="00244322"/>
    <w:rsid w:val="00245CEE"/>
    <w:rsid w:val="002565C1"/>
    <w:rsid w:val="00257C83"/>
    <w:rsid w:val="002648FA"/>
    <w:rsid w:val="002653F8"/>
    <w:rsid w:val="00267704"/>
    <w:rsid w:val="00273F15"/>
    <w:rsid w:val="002802E1"/>
    <w:rsid w:val="00281D33"/>
    <w:rsid w:val="002922CE"/>
    <w:rsid w:val="002962EB"/>
    <w:rsid w:val="0029651C"/>
    <w:rsid w:val="00296EF9"/>
    <w:rsid w:val="002A01DF"/>
    <w:rsid w:val="002B7785"/>
    <w:rsid w:val="002C7B5F"/>
    <w:rsid w:val="002E01A0"/>
    <w:rsid w:val="002F71DF"/>
    <w:rsid w:val="002F729C"/>
    <w:rsid w:val="00323C61"/>
    <w:rsid w:val="00332EDA"/>
    <w:rsid w:val="003350A4"/>
    <w:rsid w:val="00335B99"/>
    <w:rsid w:val="0035247E"/>
    <w:rsid w:val="003639EF"/>
    <w:rsid w:val="00383793"/>
    <w:rsid w:val="00386EBC"/>
    <w:rsid w:val="00391B22"/>
    <w:rsid w:val="003934E3"/>
    <w:rsid w:val="003A0C97"/>
    <w:rsid w:val="003A2C59"/>
    <w:rsid w:val="003A48E1"/>
    <w:rsid w:val="003A54ED"/>
    <w:rsid w:val="003A600B"/>
    <w:rsid w:val="003B62B6"/>
    <w:rsid w:val="003B7EF6"/>
    <w:rsid w:val="003C7D57"/>
    <w:rsid w:val="003E006F"/>
    <w:rsid w:val="003F11CD"/>
    <w:rsid w:val="003F189A"/>
    <w:rsid w:val="003F1A1A"/>
    <w:rsid w:val="003F3D4B"/>
    <w:rsid w:val="003F3EAB"/>
    <w:rsid w:val="003F40BD"/>
    <w:rsid w:val="003F4CED"/>
    <w:rsid w:val="00411FA8"/>
    <w:rsid w:val="00421215"/>
    <w:rsid w:val="004249C2"/>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A27DE"/>
    <w:rsid w:val="004A3F6D"/>
    <w:rsid w:val="004A7396"/>
    <w:rsid w:val="004B54E9"/>
    <w:rsid w:val="004B6EC4"/>
    <w:rsid w:val="004C1189"/>
    <w:rsid w:val="004D373E"/>
    <w:rsid w:val="004E1009"/>
    <w:rsid w:val="004E1B6C"/>
    <w:rsid w:val="004E7281"/>
    <w:rsid w:val="004F34D0"/>
    <w:rsid w:val="00506F79"/>
    <w:rsid w:val="00511D74"/>
    <w:rsid w:val="00513641"/>
    <w:rsid w:val="00513CAC"/>
    <w:rsid w:val="00513FB0"/>
    <w:rsid w:val="005178B4"/>
    <w:rsid w:val="0052258E"/>
    <w:rsid w:val="005234F9"/>
    <w:rsid w:val="00526E7D"/>
    <w:rsid w:val="00533718"/>
    <w:rsid w:val="00542450"/>
    <w:rsid w:val="00543861"/>
    <w:rsid w:val="005440D3"/>
    <w:rsid w:val="0055709D"/>
    <w:rsid w:val="00560363"/>
    <w:rsid w:val="00566589"/>
    <w:rsid w:val="00567B4C"/>
    <w:rsid w:val="00570338"/>
    <w:rsid w:val="005704CF"/>
    <w:rsid w:val="0057143F"/>
    <w:rsid w:val="00577200"/>
    <w:rsid w:val="0058155B"/>
    <w:rsid w:val="005841F6"/>
    <w:rsid w:val="00584FBF"/>
    <w:rsid w:val="00585030"/>
    <w:rsid w:val="0059567A"/>
    <w:rsid w:val="005959BD"/>
    <w:rsid w:val="005A0373"/>
    <w:rsid w:val="005A09D3"/>
    <w:rsid w:val="005A3093"/>
    <w:rsid w:val="005B2811"/>
    <w:rsid w:val="005B5D50"/>
    <w:rsid w:val="005B77A4"/>
    <w:rsid w:val="005B7856"/>
    <w:rsid w:val="005C4C3D"/>
    <w:rsid w:val="005C6DE5"/>
    <w:rsid w:val="005C71CA"/>
    <w:rsid w:val="005C7DF6"/>
    <w:rsid w:val="005D5869"/>
    <w:rsid w:val="005D69D1"/>
    <w:rsid w:val="005D7A15"/>
    <w:rsid w:val="005E1BD5"/>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62AD"/>
    <w:rsid w:val="006874EC"/>
    <w:rsid w:val="00687EDE"/>
    <w:rsid w:val="00693190"/>
    <w:rsid w:val="006932BB"/>
    <w:rsid w:val="006A38B0"/>
    <w:rsid w:val="006A3A9B"/>
    <w:rsid w:val="006A50C0"/>
    <w:rsid w:val="006B057C"/>
    <w:rsid w:val="006B1158"/>
    <w:rsid w:val="006B5D38"/>
    <w:rsid w:val="006B6FD9"/>
    <w:rsid w:val="006C3271"/>
    <w:rsid w:val="006C4112"/>
    <w:rsid w:val="006C7F54"/>
    <w:rsid w:val="006D4535"/>
    <w:rsid w:val="006D564E"/>
    <w:rsid w:val="006D638D"/>
    <w:rsid w:val="006F111A"/>
    <w:rsid w:val="006F35CD"/>
    <w:rsid w:val="006F4B1B"/>
    <w:rsid w:val="006F64F8"/>
    <w:rsid w:val="00704183"/>
    <w:rsid w:val="007221AD"/>
    <w:rsid w:val="00723EDE"/>
    <w:rsid w:val="007241DD"/>
    <w:rsid w:val="00731E1C"/>
    <w:rsid w:val="00740E7D"/>
    <w:rsid w:val="00742C4C"/>
    <w:rsid w:val="007468D2"/>
    <w:rsid w:val="007469D6"/>
    <w:rsid w:val="00751A45"/>
    <w:rsid w:val="0075250D"/>
    <w:rsid w:val="00752E6A"/>
    <w:rsid w:val="00755D11"/>
    <w:rsid w:val="00756E3A"/>
    <w:rsid w:val="00762CB4"/>
    <w:rsid w:val="00766475"/>
    <w:rsid w:val="00766CE9"/>
    <w:rsid w:val="00772FBA"/>
    <w:rsid w:val="00773002"/>
    <w:rsid w:val="007853F8"/>
    <w:rsid w:val="00785D27"/>
    <w:rsid w:val="007959BA"/>
    <w:rsid w:val="007B51B6"/>
    <w:rsid w:val="007B5B9E"/>
    <w:rsid w:val="007B7586"/>
    <w:rsid w:val="007B77B4"/>
    <w:rsid w:val="007C0881"/>
    <w:rsid w:val="007C2726"/>
    <w:rsid w:val="007C3AE0"/>
    <w:rsid w:val="007C3FA2"/>
    <w:rsid w:val="007C6801"/>
    <w:rsid w:val="007D4726"/>
    <w:rsid w:val="007D7DF2"/>
    <w:rsid w:val="007E105C"/>
    <w:rsid w:val="007E2956"/>
    <w:rsid w:val="007E4255"/>
    <w:rsid w:val="007E4DB3"/>
    <w:rsid w:val="007F34B0"/>
    <w:rsid w:val="007F585A"/>
    <w:rsid w:val="00821539"/>
    <w:rsid w:val="00826D26"/>
    <w:rsid w:val="008279FC"/>
    <w:rsid w:val="008407A1"/>
    <w:rsid w:val="00845006"/>
    <w:rsid w:val="00852F18"/>
    <w:rsid w:val="0085341D"/>
    <w:rsid w:val="008575F4"/>
    <w:rsid w:val="0085768C"/>
    <w:rsid w:val="00857E10"/>
    <w:rsid w:val="008709EB"/>
    <w:rsid w:val="0087209D"/>
    <w:rsid w:val="00873BDC"/>
    <w:rsid w:val="00895D3F"/>
    <w:rsid w:val="00896E75"/>
    <w:rsid w:val="008B176F"/>
    <w:rsid w:val="008B2848"/>
    <w:rsid w:val="008B31DB"/>
    <w:rsid w:val="008D1767"/>
    <w:rsid w:val="008D4969"/>
    <w:rsid w:val="008E1D80"/>
    <w:rsid w:val="008E39AE"/>
    <w:rsid w:val="008F3F23"/>
    <w:rsid w:val="008F3FE5"/>
    <w:rsid w:val="008F4177"/>
    <w:rsid w:val="00904841"/>
    <w:rsid w:val="00907BDD"/>
    <w:rsid w:val="00916792"/>
    <w:rsid w:val="009236AD"/>
    <w:rsid w:val="009245B7"/>
    <w:rsid w:val="00924D5E"/>
    <w:rsid w:val="00927BDA"/>
    <w:rsid w:val="009302E1"/>
    <w:rsid w:val="009357B0"/>
    <w:rsid w:val="009358D8"/>
    <w:rsid w:val="00937C98"/>
    <w:rsid w:val="0095022C"/>
    <w:rsid w:val="009511D5"/>
    <w:rsid w:val="00954574"/>
    <w:rsid w:val="00965EDE"/>
    <w:rsid w:val="00972777"/>
    <w:rsid w:val="00973863"/>
    <w:rsid w:val="00977F73"/>
    <w:rsid w:val="00984A0C"/>
    <w:rsid w:val="00991B77"/>
    <w:rsid w:val="009924B5"/>
    <w:rsid w:val="00993F95"/>
    <w:rsid w:val="009A0AF3"/>
    <w:rsid w:val="009A185F"/>
    <w:rsid w:val="009B3549"/>
    <w:rsid w:val="009C5DA0"/>
    <w:rsid w:val="009C6091"/>
    <w:rsid w:val="009D2617"/>
    <w:rsid w:val="009D5865"/>
    <w:rsid w:val="009D5DC1"/>
    <w:rsid w:val="009F0C9C"/>
    <w:rsid w:val="009F104A"/>
    <w:rsid w:val="009F5B5D"/>
    <w:rsid w:val="009F65BB"/>
    <w:rsid w:val="00A02703"/>
    <w:rsid w:val="00A041A5"/>
    <w:rsid w:val="00A04FB8"/>
    <w:rsid w:val="00A07683"/>
    <w:rsid w:val="00A10986"/>
    <w:rsid w:val="00A2057D"/>
    <w:rsid w:val="00A36D94"/>
    <w:rsid w:val="00A60EEE"/>
    <w:rsid w:val="00A62D32"/>
    <w:rsid w:val="00A645C2"/>
    <w:rsid w:val="00A65E2C"/>
    <w:rsid w:val="00A66EAF"/>
    <w:rsid w:val="00A738F3"/>
    <w:rsid w:val="00A73A8F"/>
    <w:rsid w:val="00A749B6"/>
    <w:rsid w:val="00A830EA"/>
    <w:rsid w:val="00A90AF6"/>
    <w:rsid w:val="00A9168E"/>
    <w:rsid w:val="00AA0409"/>
    <w:rsid w:val="00AA08FD"/>
    <w:rsid w:val="00AA1D9E"/>
    <w:rsid w:val="00AA2897"/>
    <w:rsid w:val="00AB0700"/>
    <w:rsid w:val="00AC0B56"/>
    <w:rsid w:val="00AC5723"/>
    <w:rsid w:val="00AE05EB"/>
    <w:rsid w:val="00AE0DBB"/>
    <w:rsid w:val="00AE1377"/>
    <w:rsid w:val="00AE3ED6"/>
    <w:rsid w:val="00AE5063"/>
    <w:rsid w:val="00AE6436"/>
    <w:rsid w:val="00AF266B"/>
    <w:rsid w:val="00AF30B1"/>
    <w:rsid w:val="00AF66A3"/>
    <w:rsid w:val="00B11A62"/>
    <w:rsid w:val="00B16263"/>
    <w:rsid w:val="00B165F7"/>
    <w:rsid w:val="00B17FB7"/>
    <w:rsid w:val="00B3353C"/>
    <w:rsid w:val="00B346B6"/>
    <w:rsid w:val="00B35035"/>
    <w:rsid w:val="00B35889"/>
    <w:rsid w:val="00B41BED"/>
    <w:rsid w:val="00B43005"/>
    <w:rsid w:val="00B4385B"/>
    <w:rsid w:val="00B57E32"/>
    <w:rsid w:val="00B621D2"/>
    <w:rsid w:val="00B653F5"/>
    <w:rsid w:val="00B66EF3"/>
    <w:rsid w:val="00B74732"/>
    <w:rsid w:val="00B86677"/>
    <w:rsid w:val="00B969FE"/>
    <w:rsid w:val="00BA1CD4"/>
    <w:rsid w:val="00BA1D02"/>
    <w:rsid w:val="00BC2B00"/>
    <w:rsid w:val="00BD39FB"/>
    <w:rsid w:val="00BE2758"/>
    <w:rsid w:val="00BE2A7B"/>
    <w:rsid w:val="00BE35AA"/>
    <w:rsid w:val="00BF3EE7"/>
    <w:rsid w:val="00C0359C"/>
    <w:rsid w:val="00C0574E"/>
    <w:rsid w:val="00C103F1"/>
    <w:rsid w:val="00C12A35"/>
    <w:rsid w:val="00C204B8"/>
    <w:rsid w:val="00C21B68"/>
    <w:rsid w:val="00C24092"/>
    <w:rsid w:val="00C339A4"/>
    <w:rsid w:val="00C34FD1"/>
    <w:rsid w:val="00C373B4"/>
    <w:rsid w:val="00C40930"/>
    <w:rsid w:val="00C52AA3"/>
    <w:rsid w:val="00C5451B"/>
    <w:rsid w:val="00C576FE"/>
    <w:rsid w:val="00C57AC2"/>
    <w:rsid w:val="00C60CC7"/>
    <w:rsid w:val="00C622E3"/>
    <w:rsid w:val="00C927F2"/>
    <w:rsid w:val="00C95A62"/>
    <w:rsid w:val="00C960DE"/>
    <w:rsid w:val="00CA1F73"/>
    <w:rsid w:val="00CA3822"/>
    <w:rsid w:val="00CA6FA2"/>
    <w:rsid w:val="00CA788C"/>
    <w:rsid w:val="00CB0813"/>
    <w:rsid w:val="00CB24C2"/>
    <w:rsid w:val="00CB38D7"/>
    <w:rsid w:val="00CD26AC"/>
    <w:rsid w:val="00CE087F"/>
    <w:rsid w:val="00CE2A51"/>
    <w:rsid w:val="00CE48C8"/>
    <w:rsid w:val="00CE5441"/>
    <w:rsid w:val="00CE6D18"/>
    <w:rsid w:val="00CF71B4"/>
    <w:rsid w:val="00D0696F"/>
    <w:rsid w:val="00D10D98"/>
    <w:rsid w:val="00D128B0"/>
    <w:rsid w:val="00D17FE3"/>
    <w:rsid w:val="00D23AD0"/>
    <w:rsid w:val="00D24DE1"/>
    <w:rsid w:val="00D25293"/>
    <w:rsid w:val="00D26F9E"/>
    <w:rsid w:val="00D369F6"/>
    <w:rsid w:val="00D37F9B"/>
    <w:rsid w:val="00D426DA"/>
    <w:rsid w:val="00D5681D"/>
    <w:rsid w:val="00D61873"/>
    <w:rsid w:val="00D61B85"/>
    <w:rsid w:val="00D6500F"/>
    <w:rsid w:val="00D70A77"/>
    <w:rsid w:val="00D71711"/>
    <w:rsid w:val="00D74382"/>
    <w:rsid w:val="00D74832"/>
    <w:rsid w:val="00D76E29"/>
    <w:rsid w:val="00D849FF"/>
    <w:rsid w:val="00D94ED8"/>
    <w:rsid w:val="00DA0BDC"/>
    <w:rsid w:val="00DA4E75"/>
    <w:rsid w:val="00DB3DA2"/>
    <w:rsid w:val="00DB59D7"/>
    <w:rsid w:val="00DB75E0"/>
    <w:rsid w:val="00DD7501"/>
    <w:rsid w:val="00DE6494"/>
    <w:rsid w:val="00DF1F1C"/>
    <w:rsid w:val="00DF1FFF"/>
    <w:rsid w:val="00DF24A7"/>
    <w:rsid w:val="00DF264B"/>
    <w:rsid w:val="00DF79D0"/>
    <w:rsid w:val="00E06306"/>
    <w:rsid w:val="00E102C5"/>
    <w:rsid w:val="00E10A63"/>
    <w:rsid w:val="00E154EB"/>
    <w:rsid w:val="00E2469A"/>
    <w:rsid w:val="00E32382"/>
    <w:rsid w:val="00E373FB"/>
    <w:rsid w:val="00E40762"/>
    <w:rsid w:val="00E4156C"/>
    <w:rsid w:val="00E45078"/>
    <w:rsid w:val="00E50654"/>
    <w:rsid w:val="00E57829"/>
    <w:rsid w:val="00E65C78"/>
    <w:rsid w:val="00E65E8A"/>
    <w:rsid w:val="00E67E28"/>
    <w:rsid w:val="00E70288"/>
    <w:rsid w:val="00E843C3"/>
    <w:rsid w:val="00E84932"/>
    <w:rsid w:val="00E8521A"/>
    <w:rsid w:val="00E93D15"/>
    <w:rsid w:val="00EA29AA"/>
    <w:rsid w:val="00EB6AA1"/>
    <w:rsid w:val="00EC171E"/>
    <w:rsid w:val="00EC5D81"/>
    <w:rsid w:val="00ED344E"/>
    <w:rsid w:val="00EE2CDE"/>
    <w:rsid w:val="00EE300B"/>
    <w:rsid w:val="00EE37B5"/>
    <w:rsid w:val="00EE5AF4"/>
    <w:rsid w:val="00EF2020"/>
    <w:rsid w:val="00F05D20"/>
    <w:rsid w:val="00F12F2E"/>
    <w:rsid w:val="00F15259"/>
    <w:rsid w:val="00F175D1"/>
    <w:rsid w:val="00F17697"/>
    <w:rsid w:val="00F3479A"/>
    <w:rsid w:val="00F363E4"/>
    <w:rsid w:val="00F41641"/>
    <w:rsid w:val="00F47720"/>
    <w:rsid w:val="00F60C74"/>
    <w:rsid w:val="00F61564"/>
    <w:rsid w:val="00F61D4C"/>
    <w:rsid w:val="00F67C66"/>
    <w:rsid w:val="00F779A4"/>
    <w:rsid w:val="00F927B5"/>
    <w:rsid w:val="00FA0083"/>
    <w:rsid w:val="00FA12D4"/>
    <w:rsid w:val="00FA759C"/>
    <w:rsid w:val="00FB0AF3"/>
    <w:rsid w:val="00FB4833"/>
    <w:rsid w:val="00FC3417"/>
    <w:rsid w:val="00FC5855"/>
    <w:rsid w:val="00FC7327"/>
    <w:rsid w:val="00FD03F5"/>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26"/>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26"/>
    <w:locked/>
    <w:rsid w:val="00621705"/>
    <w:rPr>
      <w:lang w:eastAsia="en-US"/>
    </w:rPr>
  </w:style>
  <w:style w:type="paragraph" w:styleId="NormalWeb">
    <w:name w:val="Normal (Web)"/>
    <w:basedOn w:val="Normal"/>
    <w:uiPriority w:val="99"/>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 w:type="paragraph" w:customStyle="1" w:styleId="Body">
    <w:name w:val="Body"/>
    <w:rsid w:val="002F71D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2015-12-02T14:07:00Z</cp:lastPrinted>
  <dcterms:created xsi:type="dcterms:W3CDTF">2015-12-11T10:26:00Z</dcterms:created>
  <dcterms:modified xsi:type="dcterms:W3CDTF">2015-12-11T10:26:00Z</dcterms:modified>
</cp:coreProperties>
</file>