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694D5B" w:rsidRDefault="008960B2" w:rsidP="008960B2">
      <w:pPr>
        <w:jc w:val="center"/>
        <w:rPr>
          <w:rFonts w:ascii="Tahoma" w:hAnsi="Tahoma" w:cs="Tahoma"/>
          <w:b/>
          <w:bCs/>
          <w:sz w:val="16"/>
          <w:szCs w:val="16"/>
        </w:rPr>
      </w:pPr>
    </w:p>
    <w:p w:rsidR="008960B2" w:rsidRPr="00987C9F" w:rsidRDefault="008960B2" w:rsidP="00AA084A">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8B50CB">
        <w:rPr>
          <w:rFonts w:ascii="Tahoma" w:hAnsi="Tahoma" w:cs="Tahoma"/>
          <w:b/>
          <w:bCs/>
          <w:sz w:val="22"/>
          <w:szCs w:val="22"/>
          <w:lang w:val="en-ZA"/>
        </w:rPr>
        <w:t>WRITTEN</w:t>
      </w:r>
      <w:r w:rsidR="00903F84">
        <w:rPr>
          <w:rFonts w:ascii="Tahoma" w:hAnsi="Tahoma" w:cs="Tahoma"/>
          <w:b/>
          <w:bCs/>
          <w:sz w:val="22"/>
          <w:szCs w:val="22"/>
          <w:lang w:val="en-ZA"/>
        </w:rPr>
        <w:t xml:space="preserve"> </w:t>
      </w:r>
      <w:r w:rsidRPr="00987C9F">
        <w:rPr>
          <w:rFonts w:ascii="Tahoma" w:hAnsi="Tahoma" w:cs="Tahoma"/>
          <w:b/>
          <w:bCs/>
          <w:sz w:val="22"/>
          <w:szCs w:val="22"/>
          <w:lang w:val="en-ZA"/>
        </w:rPr>
        <w:t>REPLY</w:t>
      </w:r>
    </w:p>
    <w:p w:rsidR="008960B2" w:rsidRPr="00987C9F" w:rsidRDefault="008960B2" w:rsidP="008F1057">
      <w:pPr>
        <w:ind w:left="284"/>
        <w:rPr>
          <w:rFonts w:ascii="Tahoma" w:hAnsi="Tahoma" w:cs="Tahoma"/>
          <w:b/>
          <w:bCs/>
          <w:sz w:val="22"/>
          <w:szCs w:val="22"/>
          <w:lang w:val="en-ZA"/>
        </w:rPr>
      </w:pPr>
    </w:p>
    <w:p w:rsidR="006512FA" w:rsidRDefault="008960B2" w:rsidP="00AA084A">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8B50CB">
        <w:rPr>
          <w:rFonts w:ascii="Tahoma" w:hAnsi="Tahoma" w:cs="Tahoma"/>
          <w:b/>
          <w:bCs/>
          <w:sz w:val="22"/>
          <w:szCs w:val="22"/>
          <w:lang w:val="en-ZA"/>
        </w:rPr>
        <w:t>3</w:t>
      </w:r>
      <w:r w:rsidR="003104BD">
        <w:rPr>
          <w:rFonts w:ascii="Tahoma" w:hAnsi="Tahoma" w:cs="Tahoma"/>
          <w:b/>
          <w:bCs/>
          <w:sz w:val="22"/>
          <w:szCs w:val="22"/>
          <w:lang w:val="en-ZA"/>
        </w:rPr>
        <w:t>914</w:t>
      </w:r>
    </w:p>
    <w:p w:rsidR="008960B2" w:rsidRPr="00987C9F" w:rsidRDefault="008960B2" w:rsidP="008F1057">
      <w:pPr>
        <w:ind w:left="284"/>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Default="00203DB9" w:rsidP="008F1057">
      <w:pPr>
        <w:autoSpaceDE w:val="0"/>
        <w:autoSpaceDN w:val="0"/>
        <w:adjustRightInd w:val="0"/>
        <w:ind w:left="284"/>
        <w:rPr>
          <w:rFonts w:ascii="Arial" w:hAnsi="Arial" w:cs="Arial"/>
          <w:b/>
          <w:sz w:val="22"/>
          <w:szCs w:val="22"/>
        </w:rPr>
      </w:pPr>
      <w:r w:rsidRPr="00203DB9">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1"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490D4B" w:rsidRPr="00490D4B" w:rsidRDefault="00203DB9" w:rsidP="00490D4B">
      <w:pPr>
        <w:autoSpaceDE w:val="0"/>
        <w:autoSpaceDN w:val="0"/>
        <w:adjustRightInd w:val="0"/>
        <w:spacing w:line="276" w:lineRule="auto"/>
        <w:ind w:firstLine="284"/>
        <w:jc w:val="both"/>
        <w:rPr>
          <w:rFonts w:ascii="Arial" w:hAnsi="Arial" w:cs="Arial"/>
          <w:lang w:val="af-ZA"/>
        </w:rPr>
      </w:pPr>
      <w:r w:rsidRPr="00203DB9">
        <w:rPr>
          <w:rFonts w:ascii="Arial" w:hAnsi="Arial" w:cs="Arial"/>
          <w:b/>
          <w:bCs/>
          <w:noProof/>
          <w:u w:val="single"/>
          <w:lang w:eastAsia="en-ZA"/>
        </w:rPr>
        <w:pict>
          <v:shape id="Ink 1" o:spid="_x0000_s2050" type="#_x0000_t75" style="position:absolute;left:0;text-align:left;margin-left:615.8pt;margin-top:-41.5pt;width:7.9pt;height:109.9pt;z-index:25166387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LDvkjG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10" o:title=""/>
          </v:shape>
        </w:pict>
      </w:r>
      <w:r w:rsidR="00490D4B" w:rsidRPr="00490D4B">
        <w:rPr>
          <w:rFonts w:ascii="Arial" w:hAnsi="Arial" w:cs="Arial"/>
          <w:b/>
          <w:bCs/>
          <w:lang w:val="af-ZA"/>
        </w:rPr>
        <w:t>3914</w:t>
      </w:r>
      <w:r w:rsidR="003104BD">
        <w:rPr>
          <w:rFonts w:ascii="Arial" w:hAnsi="Arial" w:cs="Arial"/>
          <w:b/>
          <w:bCs/>
          <w:lang w:val="af-ZA"/>
        </w:rPr>
        <w:t xml:space="preserve">. </w:t>
      </w:r>
      <w:r w:rsidR="00490D4B" w:rsidRPr="00490D4B">
        <w:rPr>
          <w:rFonts w:ascii="Arial" w:hAnsi="Arial" w:cs="Arial"/>
          <w:b/>
          <w:bCs/>
          <w:lang w:val="af-ZA"/>
        </w:rPr>
        <w:t>Ms P Madokwe (EFF) to ask the Minister of Public Enterprises</w:t>
      </w:r>
      <w:r w:rsidR="00490D4B" w:rsidRPr="00490D4B">
        <w:rPr>
          <w:rFonts w:ascii="Arial" w:hAnsi="Arial" w:cs="Arial"/>
          <w:lang w:val="af-ZA"/>
        </w:rPr>
        <w:t xml:space="preserve">: </w:t>
      </w:r>
    </w:p>
    <w:p w:rsidR="00490D4B" w:rsidRPr="00490D4B" w:rsidRDefault="00490D4B" w:rsidP="00490D4B">
      <w:pPr>
        <w:autoSpaceDE w:val="0"/>
        <w:autoSpaceDN w:val="0"/>
        <w:adjustRightInd w:val="0"/>
        <w:spacing w:line="276" w:lineRule="auto"/>
        <w:ind w:left="284"/>
        <w:jc w:val="both"/>
        <w:rPr>
          <w:rFonts w:ascii="Arial" w:hAnsi="Arial" w:cs="Arial"/>
          <w:lang w:val="af-ZA"/>
        </w:rPr>
      </w:pPr>
    </w:p>
    <w:p w:rsidR="00490D4B" w:rsidRPr="00490D4B" w:rsidRDefault="00490D4B" w:rsidP="00A95F61">
      <w:pPr>
        <w:widowControl w:val="0"/>
        <w:suppressAutoHyphens/>
        <w:spacing w:line="360" w:lineRule="auto"/>
        <w:ind w:left="284"/>
        <w:jc w:val="both"/>
        <w:rPr>
          <w:rFonts w:ascii="Arial" w:hAnsi="Arial" w:cs="Arial"/>
          <w:lang w:val="af-ZA"/>
        </w:rPr>
      </w:pPr>
      <w:r w:rsidRPr="00490D4B">
        <w:rPr>
          <w:rFonts w:ascii="Arial" w:hAnsi="Arial" w:cs="Arial"/>
          <w:lang w:val="af-ZA"/>
        </w:rPr>
        <w:t>What (a) amount has Eskom invested in power generation since the start of load shedding in 2007 to date and (b) does he make of the concerns raised that Eskom has been producing less and less electricity over the years and had been requesting more funding in spite of significant investment over time?</w:t>
      </w:r>
      <w:r w:rsidR="003104BD">
        <w:rPr>
          <w:rFonts w:ascii="Arial" w:hAnsi="Arial" w:cs="Arial"/>
          <w:lang w:val="af-ZA"/>
        </w:rPr>
        <w:t xml:space="preserve"> NW4941E</w:t>
      </w:r>
    </w:p>
    <w:p w:rsidR="00490D4B" w:rsidRPr="00490D4B" w:rsidRDefault="00490D4B" w:rsidP="00490D4B">
      <w:pPr>
        <w:widowControl w:val="0"/>
        <w:suppressAutoHyphens/>
        <w:spacing w:line="276" w:lineRule="auto"/>
        <w:ind w:left="284"/>
        <w:jc w:val="both"/>
        <w:rPr>
          <w:rFonts w:ascii="Arial" w:hAnsi="Arial" w:cs="Arial"/>
          <w:lang w:val="af-ZA"/>
        </w:rPr>
      </w:pPr>
    </w:p>
    <w:p w:rsidR="00490D4B" w:rsidRPr="00490D4B" w:rsidRDefault="00490D4B" w:rsidP="00490D4B">
      <w:pPr>
        <w:widowControl w:val="0"/>
        <w:suppressAutoHyphens/>
        <w:spacing w:line="276" w:lineRule="auto"/>
        <w:ind w:left="284"/>
        <w:jc w:val="both"/>
        <w:rPr>
          <w:rFonts w:ascii="Arial" w:hAnsi="Arial" w:cs="Arial"/>
          <w:b/>
          <w:u w:val="single"/>
        </w:rPr>
      </w:pPr>
      <w:r w:rsidRPr="00490D4B">
        <w:rPr>
          <w:rFonts w:ascii="Arial" w:hAnsi="Arial" w:cs="Arial"/>
          <w:b/>
          <w:u w:val="single"/>
        </w:rPr>
        <w:t>REPLY:</w:t>
      </w:r>
    </w:p>
    <w:p w:rsidR="00490D4B" w:rsidRPr="00490D4B" w:rsidRDefault="00490D4B" w:rsidP="00A95F61">
      <w:pPr>
        <w:widowControl w:val="0"/>
        <w:tabs>
          <w:tab w:val="left" w:pos="993"/>
        </w:tabs>
        <w:suppressAutoHyphens/>
        <w:spacing w:line="360" w:lineRule="auto"/>
        <w:ind w:left="993" w:hanging="709"/>
        <w:jc w:val="both"/>
        <w:rPr>
          <w:rFonts w:ascii="Arial" w:eastAsia="Arial Unicode MS" w:hAnsi="Arial" w:cs="Arial"/>
          <w:bCs/>
          <w:lang w:eastAsia="en-PH"/>
        </w:rPr>
      </w:pPr>
      <w:r w:rsidRPr="00490D4B">
        <w:rPr>
          <w:rFonts w:ascii="Arial" w:eastAsia="Arial Unicode MS" w:hAnsi="Arial" w:cs="Arial"/>
          <w:bCs/>
          <w:lang w:eastAsia="en-PH"/>
        </w:rPr>
        <w:t>(1)(a)</w:t>
      </w:r>
      <w:r w:rsidR="00A95F61">
        <w:rPr>
          <w:rFonts w:ascii="Arial" w:eastAsia="Arial Unicode MS" w:hAnsi="Arial" w:cs="Arial"/>
          <w:bCs/>
          <w:lang w:eastAsia="en-PH"/>
        </w:rPr>
        <w:t xml:space="preserve"> </w:t>
      </w:r>
      <w:r w:rsidRPr="00490D4B">
        <w:rPr>
          <w:rFonts w:ascii="Arial" w:eastAsia="Arial Unicode MS" w:hAnsi="Arial" w:cs="Arial"/>
          <w:bCs/>
          <w:lang w:eastAsia="en-PH"/>
        </w:rPr>
        <w:t>Eskom spent a total of R632.9 billion (excluding capitalized interest) between the start of Financial Year (FY) 2008 (1 April 2007) and the end of FY 2021 (31 March 2021), of which R320.1 billion (50.6%) was focused on increasing installed generating capacity, at:</w:t>
      </w:r>
    </w:p>
    <w:p w:rsidR="00490D4B" w:rsidRPr="00490D4B" w:rsidRDefault="00490D4B" w:rsidP="00490D4B">
      <w:pPr>
        <w:widowControl w:val="0"/>
        <w:suppressAutoHyphens/>
        <w:spacing w:line="276" w:lineRule="auto"/>
        <w:ind w:left="284"/>
        <w:jc w:val="both"/>
        <w:rPr>
          <w:rFonts w:ascii="Arial" w:eastAsia="Arial Unicode MS" w:hAnsi="Arial" w:cs="Arial"/>
          <w:bCs/>
          <w:lang w:eastAsia="en-PH"/>
        </w:rPr>
      </w:pPr>
    </w:p>
    <w:tbl>
      <w:tblPr>
        <w:tblStyle w:val="TableGrid"/>
        <w:tblW w:w="9497" w:type="dxa"/>
        <w:tblInd w:w="279" w:type="dxa"/>
        <w:tblLook w:val="04A0"/>
      </w:tblPr>
      <w:tblGrid>
        <w:gridCol w:w="4678"/>
        <w:gridCol w:w="4819"/>
      </w:tblGrid>
      <w:tr w:rsidR="00490D4B" w:rsidRPr="00490D4B" w:rsidTr="00A95F61">
        <w:tc>
          <w:tcPr>
            <w:tcW w:w="4678" w:type="dxa"/>
          </w:tcPr>
          <w:p w:rsidR="00490D4B" w:rsidRPr="00A95F61" w:rsidRDefault="00490D4B" w:rsidP="00A95F61">
            <w:pPr>
              <w:widowControl w:val="0"/>
              <w:suppressAutoHyphens/>
              <w:spacing w:line="276" w:lineRule="auto"/>
              <w:jc w:val="both"/>
              <w:rPr>
                <w:rFonts w:ascii="Arial" w:eastAsia="Arial Unicode MS" w:hAnsi="Arial" w:cs="Arial"/>
                <w:b/>
                <w:lang w:val="en-US" w:eastAsia="en-PH"/>
              </w:rPr>
            </w:pPr>
            <w:r w:rsidRPr="00A95F61">
              <w:rPr>
                <w:rFonts w:ascii="Arial" w:eastAsia="Arial Unicode MS" w:hAnsi="Arial" w:cs="Arial"/>
                <w:b/>
                <w:lang w:val="en-US" w:eastAsia="en-PH"/>
              </w:rPr>
              <w:t>New stations</w:t>
            </w:r>
          </w:p>
        </w:tc>
        <w:tc>
          <w:tcPr>
            <w:tcW w:w="4819" w:type="dxa"/>
          </w:tcPr>
          <w:p w:rsidR="00490D4B" w:rsidRPr="00490D4B" w:rsidRDefault="00490D4B" w:rsidP="00A95F61">
            <w:pPr>
              <w:widowControl w:val="0"/>
              <w:suppressAutoHyphens/>
              <w:spacing w:line="276" w:lineRule="auto"/>
              <w:jc w:val="both"/>
              <w:rPr>
                <w:rFonts w:ascii="Arial" w:eastAsia="Arial Unicode MS" w:hAnsi="Arial" w:cs="Arial"/>
                <w:b/>
                <w:lang w:val="en-US" w:eastAsia="en-PH"/>
              </w:rPr>
            </w:pPr>
            <w:r w:rsidRPr="00490D4B">
              <w:rPr>
                <w:rFonts w:ascii="Arial" w:eastAsia="Arial Unicode MS" w:hAnsi="Arial" w:cs="Arial"/>
                <w:b/>
                <w:lang w:val="en-US" w:eastAsia="en-PH"/>
              </w:rPr>
              <w:t xml:space="preserve">Return to Service (RTS) stations </w:t>
            </w:r>
          </w:p>
        </w:tc>
      </w:tr>
      <w:tr w:rsidR="00490D4B" w:rsidRPr="00490D4B" w:rsidTr="00A95F61">
        <w:trPr>
          <w:trHeight w:val="1611"/>
        </w:trPr>
        <w:tc>
          <w:tcPr>
            <w:tcW w:w="4678" w:type="dxa"/>
          </w:tcPr>
          <w:p w:rsidR="00490D4B" w:rsidRPr="00490D4B" w:rsidRDefault="00490D4B" w:rsidP="00490D4B">
            <w:pPr>
              <w:pStyle w:val="ListParagraph"/>
              <w:widowControl w:val="0"/>
              <w:numPr>
                <w:ilvl w:val="0"/>
                <w:numId w:val="48"/>
              </w:numPr>
              <w:suppressAutoHyphens/>
              <w:spacing w:line="276" w:lineRule="auto"/>
              <w:jc w:val="both"/>
              <w:rPr>
                <w:rFonts w:ascii="Arial" w:eastAsia="Arial Unicode MS" w:hAnsi="Arial" w:cs="Arial"/>
                <w:bCs/>
                <w:lang w:val="en-US" w:eastAsia="en-PH"/>
              </w:rPr>
            </w:pPr>
            <w:r w:rsidRPr="00490D4B">
              <w:rPr>
                <w:rFonts w:ascii="Arial" w:eastAsia="Arial Unicode MS" w:hAnsi="Arial" w:cs="Arial"/>
                <w:bCs/>
                <w:lang w:val="en-US" w:eastAsia="en-PH"/>
              </w:rPr>
              <w:t>Medupi</w:t>
            </w:r>
          </w:p>
          <w:p w:rsidR="00490D4B" w:rsidRPr="00490D4B" w:rsidRDefault="00490D4B" w:rsidP="00490D4B">
            <w:pPr>
              <w:pStyle w:val="ListParagraph"/>
              <w:widowControl w:val="0"/>
              <w:numPr>
                <w:ilvl w:val="0"/>
                <w:numId w:val="48"/>
              </w:numPr>
              <w:suppressAutoHyphens/>
              <w:spacing w:line="276" w:lineRule="auto"/>
              <w:jc w:val="both"/>
              <w:rPr>
                <w:rFonts w:ascii="Arial" w:eastAsia="Arial Unicode MS" w:hAnsi="Arial" w:cs="Arial"/>
                <w:bCs/>
                <w:lang w:val="en-US" w:eastAsia="en-PH"/>
              </w:rPr>
            </w:pPr>
            <w:r w:rsidRPr="00490D4B">
              <w:rPr>
                <w:rFonts w:ascii="Arial" w:eastAsia="Arial Unicode MS" w:hAnsi="Arial" w:cs="Arial"/>
                <w:bCs/>
                <w:lang w:val="en-US" w:eastAsia="en-PH"/>
              </w:rPr>
              <w:t>Kusile</w:t>
            </w:r>
          </w:p>
          <w:p w:rsidR="00490D4B" w:rsidRPr="00490D4B" w:rsidRDefault="00490D4B" w:rsidP="00490D4B">
            <w:pPr>
              <w:pStyle w:val="ListParagraph"/>
              <w:widowControl w:val="0"/>
              <w:numPr>
                <w:ilvl w:val="0"/>
                <w:numId w:val="48"/>
              </w:numPr>
              <w:suppressAutoHyphens/>
              <w:spacing w:line="276" w:lineRule="auto"/>
              <w:jc w:val="both"/>
              <w:rPr>
                <w:rFonts w:ascii="Arial" w:eastAsia="Arial Unicode MS" w:hAnsi="Arial" w:cs="Arial"/>
                <w:bCs/>
                <w:lang w:val="en-US" w:eastAsia="en-PH"/>
              </w:rPr>
            </w:pPr>
            <w:r w:rsidRPr="00490D4B">
              <w:rPr>
                <w:rFonts w:ascii="Arial" w:eastAsia="Arial Unicode MS" w:hAnsi="Arial" w:cs="Arial"/>
                <w:bCs/>
                <w:lang w:val="en-US" w:eastAsia="en-PH"/>
              </w:rPr>
              <w:t>Ingula</w:t>
            </w:r>
          </w:p>
          <w:p w:rsidR="00490D4B" w:rsidRPr="00490D4B" w:rsidRDefault="00490D4B" w:rsidP="00490D4B">
            <w:pPr>
              <w:pStyle w:val="ListParagraph"/>
              <w:widowControl w:val="0"/>
              <w:numPr>
                <w:ilvl w:val="0"/>
                <w:numId w:val="48"/>
              </w:numPr>
              <w:suppressAutoHyphens/>
              <w:spacing w:line="276" w:lineRule="auto"/>
              <w:jc w:val="both"/>
              <w:rPr>
                <w:rFonts w:ascii="Arial" w:eastAsia="Arial Unicode MS" w:hAnsi="Arial" w:cs="Arial"/>
                <w:bCs/>
                <w:lang w:val="en-US" w:eastAsia="en-PH"/>
              </w:rPr>
            </w:pPr>
            <w:r w:rsidRPr="00490D4B">
              <w:rPr>
                <w:rFonts w:ascii="Arial" w:eastAsia="Arial Unicode MS" w:hAnsi="Arial" w:cs="Arial"/>
                <w:bCs/>
                <w:lang w:val="en-US" w:eastAsia="en-PH"/>
              </w:rPr>
              <w:t>Sere</w:t>
            </w:r>
          </w:p>
          <w:p w:rsidR="00490D4B" w:rsidRPr="00490D4B" w:rsidRDefault="00490D4B" w:rsidP="00490D4B">
            <w:pPr>
              <w:pStyle w:val="ListParagraph"/>
              <w:widowControl w:val="0"/>
              <w:numPr>
                <w:ilvl w:val="0"/>
                <w:numId w:val="48"/>
              </w:numPr>
              <w:suppressAutoHyphens/>
              <w:spacing w:line="276" w:lineRule="auto"/>
              <w:jc w:val="both"/>
              <w:rPr>
                <w:rFonts w:ascii="Arial" w:eastAsia="Arial Unicode MS" w:hAnsi="Arial" w:cs="Arial"/>
                <w:bCs/>
                <w:lang w:val="en-US" w:eastAsia="en-PH"/>
              </w:rPr>
            </w:pPr>
            <w:proofErr w:type="spellStart"/>
            <w:r w:rsidRPr="00490D4B">
              <w:rPr>
                <w:rFonts w:ascii="Arial" w:eastAsia="Arial Unicode MS" w:hAnsi="Arial" w:cs="Arial"/>
                <w:bCs/>
                <w:lang w:val="en-US" w:eastAsia="en-PH"/>
              </w:rPr>
              <w:t>Angerlig</w:t>
            </w:r>
            <w:proofErr w:type="spellEnd"/>
          </w:p>
          <w:p w:rsidR="00490D4B" w:rsidRPr="00490D4B" w:rsidRDefault="00490D4B" w:rsidP="00490D4B">
            <w:pPr>
              <w:pStyle w:val="ListParagraph"/>
              <w:widowControl w:val="0"/>
              <w:numPr>
                <w:ilvl w:val="0"/>
                <w:numId w:val="48"/>
              </w:numPr>
              <w:suppressAutoHyphens/>
              <w:spacing w:line="276" w:lineRule="auto"/>
              <w:jc w:val="both"/>
              <w:rPr>
                <w:rFonts w:ascii="Arial" w:eastAsia="Arial Unicode MS" w:hAnsi="Arial" w:cs="Arial"/>
                <w:bCs/>
                <w:lang w:val="en-US" w:eastAsia="en-PH"/>
              </w:rPr>
            </w:pPr>
            <w:proofErr w:type="spellStart"/>
            <w:r w:rsidRPr="00490D4B">
              <w:rPr>
                <w:rFonts w:ascii="Arial" w:eastAsia="Arial Unicode MS" w:hAnsi="Arial" w:cs="Arial"/>
                <w:bCs/>
                <w:lang w:val="en-US" w:eastAsia="en-PH"/>
              </w:rPr>
              <w:t>Gourikwa</w:t>
            </w:r>
            <w:proofErr w:type="spellEnd"/>
          </w:p>
        </w:tc>
        <w:tc>
          <w:tcPr>
            <w:tcW w:w="4819" w:type="dxa"/>
          </w:tcPr>
          <w:p w:rsidR="00490D4B" w:rsidRPr="00490D4B" w:rsidRDefault="00490D4B" w:rsidP="00490D4B">
            <w:pPr>
              <w:pStyle w:val="ListParagraph"/>
              <w:widowControl w:val="0"/>
              <w:numPr>
                <w:ilvl w:val="0"/>
                <w:numId w:val="49"/>
              </w:numPr>
              <w:suppressAutoHyphens/>
              <w:spacing w:line="276" w:lineRule="auto"/>
              <w:jc w:val="both"/>
              <w:rPr>
                <w:rFonts w:ascii="Arial" w:eastAsia="Arial Unicode MS" w:hAnsi="Arial" w:cs="Arial"/>
                <w:bCs/>
                <w:lang w:val="en-US" w:eastAsia="en-PH"/>
              </w:rPr>
            </w:pPr>
            <w:r w:rsidRPr="00490D4B">
              <w:rPr>
                <w:rFonts w:ascii="Arial" w:eastAsia="Arial Unicode MS" w:hAnsi="Arial" w:cs="Arial"/>
                <w:bCs/>
                <w:lang w:val="en-US" w:eastAsia="en-PH"/>
              </w:rPr>
              <w:t>Camden</w:t>
            </w:r>
          </w:p>
          <w:p w:rsidR="00490D4B" w:rsidRPr="00490D4B" w:rsidRDefault="00490D4B" w:rsidP="00490D4B">
            <w:pPr>
              <w:pStyle w:val="ListParagraph"/>
              <w:widowControl w:val="0"/>
              <w:numPr>
                <w:ilvl w:val="0"/>
                <w:numId w:val="49"/>
              </w:numPr>
              <w:suppressAutoHyphens/>
              <w:spacing w:line="276" w:lineRule="auto"/>
              <w:jc w:val="both"/>
              <w:rPr>
                <w:rFonts w:ascii="Arial" w:eastAsia="Arial Unicode MS" w:hAnsi="Arial" w:cs="Arial"/>
                <w:bCs/>
                <w:lang w:val="en-US" w:eastAsia="en-PH"/>
              </w:rPr>
            </w:pPr>
            <w:r w:rsidRPr="00490D4B">
              <w:rPr>
                <w:rFonts w:ascii="Arial" w:eastAsia="Arial Unicode MS" w:hAnsi="Arial" w:cs="Arial"/>
                <w:bCs/>
                <w:lang w:val="en-US" w:eastAsia="en-PH"/>
              </w:rPr>
              <w:t>Komati</w:t>
            </w:r>
          </w:p>
          <w:p w:rsidR="00490D4B" w:rsidRPr="00490D4B" w:rsidRDefault="00490D4B" w:rsidP="00490D4B">
            <w:pPr>
              <w:pStyle w:val="ListParagraph"/>
              <w:widowControl w:val="0"/>
              <w:numPr>
                <w:ilvl w:val="0"/>
                <w:numId w:val="49"/>
              </w:numPr>
              <w:suppressAutoHyphens/>
              <w:spacing w:line="276" w:lineRule="auto"/>
              <w:jc w:val="both"/>
              <w:rPr>
                <w:rFonts w:ascii="Arial" w:eastAsia="Arial Unicode MS" w:hAnsi="Arial" w:cs="Arial"/>
                <w:bCs/>
                <w:lang w:val="en-US" w:eastAsia="en-PH"/>
              </w:rPr>
            </w:pPr>
            <w:proofErr w:type="spellStart"/>
            <w:r w:rsidRPr="00490D4B">
              <w:rPr>
                <w:rFonts w:ascii="Arial" w:eastAsia="Arial Unicode MS" w:hAnsi="Arial" w:cs="Arial"/>
                <w:bCs/>
                <w:lang w:val="en-US" w:eastAsia="en-PH"/>
              </w:rPr>
              <w:t>Grootvlei</w:t>
            </w:r>
            <w:proofErr w:type="spellEnd"/>
          </w:p>
          <w:p w:rsidR="00490D4B" w:rsidRPr="00490D4B" w:rsidRDefault="00490D4B" w:rsidP="00490D4B">
            <w:pPr>
              <w:pStyle w:val="ListParagraph"/>
              <w:widowControl w:val="0"/>
              <w:numPr>
                <w:ilvl w:val="0"/>
                <w:numId w:val="49"/>
              </w:numPr>
              <w:suppressAutoHyphens/>
              <w:spacing w:line="276" w:lineRule="auto"/>
              <w:jc w:val="both"/>
              <w:rPr>
                <w:rFonts w:ascii="Arial" w:eastAsia="Arial Unicode MS" w:hAnsi="Arial" w:cs="Arial"/>
                <w:bCs/>
                <w:lang w:val="en-US" w:eastAsia="en-PH"/>
              </w:rPr>
            </w:pPr>
            <w:r w:rsidRPr="00490D4B">
              <w:rPr>
                <w:rFonts w:ascii="Arial" w:eastAsia="Arial Unicode MS" w:hAnsi="Arial" w:cs="Arial"/>
                <w:bCs/>
                <w:lang w:val="en-US" w:eastAsia="en-PH"/>
              </w:rPr>
              <w:t>Arnot</w:t>
            </w:r>
          </w:p>
          <w:p w:rsidR="00490D4B" w:rsidRPr="00490D4B" w:rsidRDefault="00490D4B" w:rsidP="00AD468E">
            <w:pPr>
              <w:widowControl w:val="0"/>
              <w:suppressAutoHyphens/>
              <w:spacing w:line="276" w:lineRule="auto"/>
              <w:jc w:val="both"/>
              <w:rPr>
                <w:rFonts w:ascii="Arial" w:eastAsia="Arial Unicode MS" w:hAnsi="Arial" w:cs="Arial"/>
                <w:bCs/>
                <w:lang w:val="en-US" w:eastAsia="en-PH"/>
              </w:rPr>
            </w:pPr>
          </w:p>
        </w:tc>
      </w:tr>
    </w:tbl>
    <w:p w:rsidR="00490D4B" w:rsidRPr="00490D4B" w:rsidRDefault="00490D4B" w:rsidP="00490D4B">
      <w:pPr>
        <w:widowControl w:val="0"/>
        <w:suppressAutoHyphens/>
        <w:spacing w:line="276" w:lineRule="auto"/>
        <w:jc w:val="both"/>
        <w:rPr>
          <w:rFonts w:ascii="Arial" w:eastAsia="Arial Unicode MS" w:hAnsi="Arial" w:cs="Arial"/>
          <w:bCs/>
          <w:lang w:eastAsia="en-PH"/>
        </w:rPr>
      </w:pPr>
    </w:p>
    <w:p w:rsidR="00490D4B" w:rsidRPr="00490D4B" w:rsidRDefault="00490D4B" w:rsidP="00A95F61">
      <w:pPr>
        <w:widowControl w:val="0"/>
        <w:suppressAutoHyphens/>
        <w:spacing w:line="360" w:lineRule="auto"/>
        <w:ind w:left="284"/>
        <w:jc w:val="both"/>
        <w:rPr>
          <w:rFonts w:ascii="Arial" w:eastAsia="Arial Unicode MS" w:hAnsi="Arial" w:cs="Arial"/>
          <w:bCs/>
          <w:lang w:eastAsia="en-PH"/>
        </w:rPr>
      </w:pPr>
      <w:r w:rsidRPr="00490D4B">
        <w:rPr>
          <w:rFonts w:ascii="Arial" w:eastAsia="Arial Unicode MS" w:hAnsi="Arial" w:cs="Arial"/>
          <w:bCs/>
          <w:lang w:eastAsia="en-PH"/>
        </w:rPr>
        <w:t>During this period, total installed capacity increased by 19.9% from 43.0 Gigawatt (GW) to 51.1 GW.</w:t>
      </w:r>
    </w:p>
    <w:p w:rsidR="00490D4B" w:rsidRPr="00490D4B" w:rsidRDefault="00490D4B" w:rsidP="00490D4B">
      <w:pPr>
        <w:widowControl w:val="0"/>
        <w:suppressAutoHyphens/>
        <w:spacing w:line="276" w:lineRule="auto"/>
        <w:ind w:left="284"/>
        <w:jc w:val="both"/>
        <w:rPr>
          <w:rFonts w:ascii="Arial" w:eastAsia="Arial Unicode MS" w:hAnsi="Arial" w:cs="Arial"/>
          <w:bCs/>
          <w:lang w:eastAsia="en-PH"/>
        </w:rPr>
      </w:pPr>
    </w:p>
    <w:p w:rsidR="00490D4B" w:rsidRPr="00490D4B" w:rsidRDefault="00490D4B" w:rsidP="00A95F61">
      <w:pPr>
        <w:widowControl w:val="0"/>
        <w:suppressAutoHyphens/>
        <w:spacing w:line="360" w:lineRule="auto"/>
        <w:ind w:left="284"/>
        <w:jc w:val="both"/>
        <w:rPr>
          <w:rFonts w:ascii="Arial" w:eastAsia="Arial Unicode MS" w:hAnsi="Arial" w:cs="Arial"/>
          <w:bCs/>
          <w:lang w:eastAsia="en-PH"/>
        </w:rPr>
      </w:pPr>
      <w:r w:rsidRPr="00490D4B">
        <w:rPr>
          <w:rFonts w:ascii="Arial" w:eastAsia="Arial Unicode MS" w:hAnsi="Arial" w:cs="Arial"/>
          <w:bCs/>
          <w:lang w:eastAsia="en-PH"/>
        </w:rPr>
        <w:t xml:space="preserve">The remainder of the capital spend relates to the expansion of power grids, the refurbishment of all plant and the acquisition of transport fleet, computing equipment, land, buildings, furniture, workshops, and other production equipment. During the period, over 23 000 km of transmission, distribution and reticulation voltage network was commissioned, with </w:t>
      </w:r>
      <w:r w:rsidR="00A95F61">
        <w:rPr>
          <w:rFonts w:ascii="Arial" w:eastAsia="Arial Unicode MS" w:hAnsi="Arial" w:cs="Arial"/>
          <w:bCs/>
          <w:lang w:eastAsia="en-PH"/>
        </w:rPr>
        <w:t>an</w:t>
      </w:r>
      <w:r w:rsidRPr="00490D4B">
        <w:rPr>
          <w:rFonts w:ascii="Arial" w:eastAsia="Arial Unicode MS" w:hAnsi="Arial" w:cs="Arial"/>
          <w:bCs/>
          <w:lang w:eastAsia="en-PH"/>
        </w:rPr>
        <w:t xml:space="preserve"> excess of 96 000 transformers being installed, adding over 94 </w:t>
      </w:r>
      <w:r w:rsidRPr="00490D4B">
        <w:rPr>
          <w:rFonts w:ascii="Arial" w:eastAsia="Arial Unicode MS" w:hAnsi="Arial" w:cs="Arial"/>
          <w:bCs/>
          <w:lang w:eastAsia="en-PH"/>
        </w:rPr>
        <w:lastRenderedPageBreak/>
        <w:t xml:space="preserve">000 Megavolt-ampere (MVA) to the grid.  </w:t>
      </w:r>
    </w:p>
    <w:p w:rsidR="00490D4B" w:rsidRPr="00490D4B" w:rsidRDefault="00490D4B" w:rsidP="008F1057">
      <w:pPr>
        <w:autoSpaceDE w:val="0"/>
        <w:autoSpaceDN w:val="0"/>
        <w:adjustRightInd w:val="0"/>
        <w:ind w:left="284"/>
        <w:rPr>
          <w:rFonts w:ascii="Arial" w:hAnsi="Arial" w:cs="Arial"/>
          <w:b/>
        </w:rPr>
      </w:pPr>
    </w:p>
    <w:p w:rsidR="00490D4B" w:rsidRPr="00D6470E" w:rsidRDefault="00490D4B" w:rsidP="00A95F61">
      <w:pPr>
        <w:widowControl w:val="0"/>
        <w:suppressAutoHyphens/>
        <w:spacing w:line="360" w:lineRule="auto"/>
        <w:ind w:left="284"/>
        <w:jc w:val="both"/>
        <w:rPr>
          <w:rFonts w:ascii="Arial" w:eastAsia="Arial Unicode MS" w:hAnsi="Arial" w:cs="Arial"/>
          <w:bCs/>
          <w:sz w:val="22"/>
          <w:szCs w:val="22"/>
          <w:lang w:eastAsia="en-PH"/>
        </w:rPr>
      </w:pPr>
      <w:r w:rsidRPr="00490D4B">
        <w:rPr>
          <w:rFonts w:ascii="Arial" w:eastAsia="Arial Unicode MS" w:hAnsi="Arial" w:cs="Arial"/>
          <w:bCs/>
          <w:lang w:eastAsia="en-PH"/>
        </w:rPr>
        <w:t xml:space="preserve">The annual capital expenditure grew from R23.4 billion in FY 2008 to a peak of R60 billion in FY 2017 during the peak of the generation capacity expansion </w:t>
      </w:r>
      <w:r w:rsidRPr="00490D4B">
        <w:rPr>
          <w:rFonts w:ascii="Arial" w:eastAsia="Arial Unicode MS" w:hAnsi="Arial" w:cs="Arial"/>
          <w:bCs/>
          <w:lang w:val="en-GB" w:eastAsia="en-PH"/>
        </w:rPr>
        <w:t>programme</w:t>
      </w:r>
      <w:r w:rsidRPr="00490D4B">
        <w:rPr>
          <w:rFonts w:ascii="Arial" w:eastAsia="Arial Unicode MS" w:hAnsi="Arial" w:cs="Arial"/>
          <w:bCs/>
          <w:lang w:eastAsia="en-PH"/>
        </w:rPr>
        <w:t>, but subsequently returned to R24 billion in the FY 2021 period</w:t>
      </w:r>
      <w:r w:rsidRPr="00D6470E">
        <w:rPr>
          <w:rFonts w:ascii="Arial" w:eastAsia="Arial Unicode MS" w:hAnsi="Arial" w:cs="Arial"/>
          <w:bCs/>
          <w:sz w:val="22"/>
          <w:szCs w:val="22"/>
          <w:lang w:eastAsia="en-PH"/>
        </w:rPr>
        <w:t>.</w:t>
      </w:r>
    </w:p>
    <w:p w:rsidR="00490D4B" w:rsidRPr="00490D4B" w:rsidRDefault="00490D4B" w:rsidP="003104BD">
      <w:pPr>
        <w:widowControl w:val="0"/>
        <w:suppressAutoHyphens/>
        <w:spacing w:line="276" w:lineRule="auto"/>
        <w:ind w:left="284"/>
        <w:jc w:val="both"/>
        <w:rPr>
          <w:rFonts w:ascii="Arial" w:eastAsia="Arial Unicode MS" w:hAnsi="Arial" w:cs="Arial"/>
          <w:bCs/>
          <w:lang w:eastAsia="en-PH"/>
        </w:rPr>
      </w:pPr>
    </w:p>
    <w:p w:rsidR="00490D4B" w:rsidRPr="003104BD" w:rsidRDefault="00490D4B" w:rsidP="00A95F61">
      <w:pPr>
        <w:widowControl w:val="0"/>
        <w:suppressAutoHyphens/>
        <w:spacing w:line="360" w:lineRule="auto"/>
        <w:ind w:left="567" w:hanging="283"/>
        <w:jc w:val="both"/>
        <w:rPr>
          <w:rFonts w:ascii="Arial" w:eastAsia="Arial Unicode MS" w:hAnsi="Arial" w:cs="Arial"/>
          <w:bCs/>
          <w:lang w:eastAsia="en-PH"/>
        </w:rPr>
      </w:pPr>
      <w:r w:rsidRPr="00490D4B">
        <w:rPr>
          <w:rFonts w:ascii="Arial" w:eastAsia="Arial Unicode MS" w:hAnsi="Arial" w:cs="Arial"/>
          <w:bCs/>
          <w:lang w:eastAsia="en-PH"/>
        </w:rPr>
        <w:t>(b)</w:t>
      </w:r>
      <w:r w:rsidR="00A95F61">
        <w:rPr>
          <w:rFonts w:ascii="Arial" w:eastAsia="Arial Unicode MS" w:hAnsi="Arial" w:cs="Arial"/>
          <w:bCs/>
          <w:lang w:eastAsia="en-PH"/>
        </w:rPr>
        <w:t xml:space="preserve"> </w:t>
      </w:r>
      <w:r w:rsidRPr="003104BD">
        <w:rPr>
          <w:rFonts w:ascii="Arial" w:eastAsia="Arial Unicode MS" w:hAnsi="Arial" w:cs="Arial"/>
          <w:bCs/>
          <w:lang w:eastAsia="en-PH"/>
        </w:rPr>
        <w:t xml:space="preserve">Energy sales in the period reduced from 224.4 </w:t>
      </w:r>
      <w:r w:rsidR="00A95F61">
        <w:rPr>
          <w:rFonts w:ascii="Arial" w:eastAsia="Arial Unicode MS" w:hAnsi="Arial" w:cs="Arial"/>
          <w:bCs/>
          <w:lang w:eastAsia="en-PH"/>
        </w:rPr>
        <w:t>Tera</w:t>
      </w:r>
      <w:r w:rsidRPr="003104BD">
        <w:rPr>
          <w:rFonts w:ascii="Arial" w:eastAsia="Arial Unicode MS" w:hAnsi="Arial" w:cs="Arial"/>
          <w:bCs/>
          <w:lang w:eastAsia="en-PH"/>
        </w:rPr>
        <w:t>watt-hour (</w:t>
      </w:r>
      <w:proofErr w:type="spellStart"/>
      <w:r w:rsidRPr="003104BD">
        <w:rPr>
          <w:rFonts w:ascii="Arial" w:eastAsia="Arial Unicode MS" w:hAnsi="Arial" w:cs="Arial"/>
          <w:bCs/>
          <w:lang w:eastAsia="en-PH"/>
        </w:rPr>
        <w:t>TWh</w:t>
      </w:r>
      <w:proofErr w:type="spellEnd"/>
      <w:r w:rsidRPr="003104BD">
        <w:rPr>
          <w:rFonts w:ascii="Arial" w:eastAsia="Arial Unicode MS" w:hAnsi="Arial" w:cs="Arial"/>
          <w:bCs/>
          <w:lang w:eastAsia="en-PH"/>
        </w:rPr>
        <w:t xml:space="preserve">) in FY 2008 to 191.9 </w:t>
      </w:r>
      <w:proofErr w:type="spellStart"/>
      <w:r w:rsidRPr="003104BD">
        <w:rPr>
          <w:rFonts w:ascii="Arial" w:eastAsia="Arial Unicode MS" w:hAnsi="Arial" w:cs="Arial"/>
          <w:bCs/>
          <w:lang w:eastAsia="en-PH"/>
        </w:rPr>
        <w:t>TWh</w:t>
      </w:r>
      <w:proofErr w:type="spellEnd"/>
      <w:r w:rsidRPr="003104BD">
        <w:rPr>
          <w:rFonts w:ascii="Arial" w:eastAsia="Arial Unicode MS" w:hAnsi="Arial" w:cs="Arial"/>
          <w:bCs/>
          <w:lang w:eastAsia="en-PH"/>
        </w:rPr>
        <w:t xml:space="preserve"> in FY 2021 (an annual average contraction of 1.2%). However, the FY 2021 period was impacted by the initial stringent COVID-19 lockdowns, which saw sales decrease by 6.7% from 205.6 </w:t>
      </w:r>
      <w:proofErr w:type="spellStart"/>
      <w:r w:rsidRPr="003104BD">
        <w:rPr>
          <w:rFonts w:ascii="Arial" w:eastAsia="Arial Unicode MS" w:hAnsi="Arial" w:cs="Arial"/>
          <w:bCs/>
          <w:lang w:eastAsia="en-PH"/>
        </w:rPr>
        <w:t>TWh</w:t>
      </w:r>
      <w:proofErr w:type="spellEnd"/>
      <w:r w:rsidRPr="003104BD">
        <w:rPr>
          <w:rFonts w:ascii="Arial" w:eastAsia="Arial Unicode MS" w:hAnsi="Arial" w:cs="Arial"/>
          <w:bCs/>
          <w:lang w:eastAsia="en-PH"/>
        </w:rPr>
        <w:t xml:space="preserve"> in FY 2020 to the 191.9 </w:t>
      </w:r>
      <w:proofErr w:type="spellStart"/>
      <w:r w:rsidRPr="003104BD">
        <w:rPr>
          <w:rFonts w:ascii="Arial" w:eastAsia="Arial Unicode MS" w:hAnsi="Arial" w:cs="Arial"/>
          <w:bCs/>
          <w:lang w:eastAsia="en-PH"/>
        </w:rPr>
        <w:t>TWh</w:t>
      </w:r>
      <w:proofErr w:type="spellEnd"/>
      <w:r w:rsidRPr="003104BD">
        <w:rPr>
          <w:rFonts w:ascii="Arial" w:eastAsia="Arial Unicode MS" w:hAnsi="Arial" w:cs="Arial"/>
          <w:bCs/>
          <w:lang w:eastAsia="en-PH"/>
        </w:rPr>
        <w:t xml:space="preserve"> in FY 2021. Re-working the annual contraction to the end of FY 2020 results in an annual average contraction of 0.7%. In total, over the FY 2008 – FY 2021 period, Eskom sales amounted 3 004.4 </w:t>
      </w:r>
      <w:proofErr w:type="spellStart"/>
      <w:r w:rsidRPr="003104BD">
        <w:rPr>
          <w:rFonts w:ascii="Arial" w:eastAsia="Arial Unicode MS" w:hAnsi="Arial" w:cs="Arial"/>
          <w:bCs/>
          <w:lang w:eastAsia="en-PH"/>
        </w:rPr>
        <w:t>TWh</w:t>
      </w:r>
      <w:proofErr w:type="spellEnd"/>
      <w:r w:rsidRPr="003104BD">
        <w:rPr>
          <w:rFonts w:ascii="Arial" w:eastAsia="Arial Unicode MS" w:hAnsi="Arial" w:cs="Arial"/>
          <w:bCs/>
          <w:lang w:eastAsia="en-PH"/>
        </w:rPr>
        <w:t xml:space="preserve">; estimated </w:t>
      </w:r>
      <w:proofErr w:type="spellStart"/>
      <w:r w:rsidRPr="003104BD">
        <w:rPr>
          <w:rFonts w:ascii="Arial" w:eastAsia="Arial Unicode MS" w:hAnsi="Arial" w:cs="Arial"/>
          <w:bCs/>
          <w:lang w:eastAsia="en-PH"/>
        </w:rPr>
        <w:t>loadshedding</w:t>
      </w:r>
      <w:proofErr w:type="spellEnd"/>
      <w:r w:rsidRPr="003104BD">
        <w:rPr>
          <w:rFonts w:ascii="Arial" w:eastAsia="Arial Unicode MS" w:hAnsi="Arial" w:cs="Arial"/>
          <w:bCs/>
          <w:lang w:eastAsia="en-PH"/>
        </w:rPr>
        <w:t xml:space="preserve"> impacts over the same period </w:t>
      </w:r>
      <w:proofErr w:type="spellStart"/>
      <w:r w:rsidRPr="003104BD">
        <w:rPr>
          <w:rFonts w:ascii="Arial" w:eastAsia="Arial Unicode MS" w:hAnsi="Arial" w:cs="Arial"/>
          <w:bCs/>
          <w:lang w:eastAsia="en-PH"/>
        </w:rPr>
        <w:t>total</w:t>
      </w:r>
      <w:r w:rsidR="00A95F61">
        <w:rPr>
          <w:rFonts w:ascii="Arial" w:eastAsia="Arial Unicode MS" w:hAnsi="Arial" w:cs="Arial"/>
          <w:bCs/>
          <w:lang w:eastAsia="en-PH"/>
        </w:rPr>
        <w:t>l</w:t>
      </w:r>
      <w:r w:rsidRPr="003104BD">
        <w:rPr>
          <w:rFonts w:ascii="Arial" w:eastAsia="Arial Unicode MS" w:hAnsi="Arial" w:cs="Arial"/>
          <w:bCs/>
          <w:lang w:eastAsia="en-PH"/>
        </w:rPr>
        <w:t>ed</w:t>
      </w:r>
      <w:proofErr w:type="spellEnd"/>
      <w:r w:rsidRPr="003104BD">
        <w:rPr>
          <w:rFonts w:ascii="Arial" w:eastAsia="Arial Unicode MS" w:hAnsi="Arial" w:cs="Arial"/>
          <w:bCs/>
          <w:lang w:eastAsia="en-PH"/>
        </w:rPr>
        <w:t xml:space="preserve"> 5.7 </w:t>
      </w:r>
      <w:proofErr w:type="spellStart"/>
      <w:r w:rsidRPr="003104BD">
        <w:rPr>
          <w:rFonts w:ascii="Arial" w:eastAsia="Arial Unicode MS" w:hAnsi="Arial" w:cs="Arial"/>
          <w:bCs/>
          <w:lang w:eastAsia="en-PH"/>
        </w:rPr>
        <w:t>TWh</w:t>
      </w:r>
      <w:proofErr w:type="spellEnd"/>
      <w:r w:rsidRPr="003104BD">
        <w:rPr>
          <w:rFonts w:ascii="Arial" w:eastAsia="Arial Unicode MS" w:hAnsi="Arial" w:cs="Arial"/>
          <w:bCs/>
          <w:lang w:eastAsia="en-PH"/>
        </w:rPr>
        <w:t xml:space="preserve"> (the equivalent of 0.2% of the total adjusted sales in the period).</w:t>
      </w:r>
    </w:p>
    <w:p w:rsidR="00490D4B" w:rsidRPr="003104BD" w:rsidRDefault="00490D4B" w:rsidP="003104BD">
      <w:pPr>
        <w:widowControl w:val="0"/>
        <w:suppressAutoHyphens/>
        <w:spacing w:line="276" w:lineRule="auto"/>
        <w:ind w:left="284"/>
        <w:jc w:val="both"/>
        <w:rPr>
          <w:rFonts w:ascii="Arial" w:eastAsia="Arial Unicode MS" w:hAnsi="Arial" w:cs="Arial"/>
          <w:bCs/>
          <w:lang w:eastAsia="en-PH"/>
        </w:rPr>
      </w:pPr>
    </w:p>
    <w:p w:rsidR="00490D4B" w:rsidRPr="003104BD" w:rsidRDefault="00490D4B" w:rsidP="00A95F61">
      <w:pPr>
        <w:widowControl w:val="0"/>
        <w:suppressAutoHyphens/>
        <w:spacing w:line="360" w:lineRule="auto"/>
        <w:ind w:left="284"/>
        <w:jc w:val="both"/>
        <w:rPr>
          <w:rFonts w:ascii="Arial" w:eastAsia="Arial Unicode MS" w:hAnsi="Arial" w:cs="Arial"/>
          <w:bCs/>
          <w:lang w:eastAsia="en-PH"/>
        </w:rPr>
      </w:pPr>
      <w:r w:rsidRPr="003104BD">
        <w:rPr>
          <w:rFonts w:ascii="Arial" w:eastAsia="Arial Unicode MS" w:hAnsi="Arial" w:cs="Arial"/>
          <w:bCs/>
          <w:lang w:eastAsia="en-PH"/>
        </w:rPr>
        <w:t>While of significant impact to the economy, the underlying sales reduction over the period cannot be wholly attributed to the impact of loadshedding since underlying shifts to more energy efficient technologies and a shift/reduction in energy consumption across sectors because of other economic factors, also play a part.</w:t>
      </w:r>
    </w:p>
    <w:p w:rsidR="00490D4B" w:rsidRPr="003104BD" w:rsidRDefault="00490D4B" w:rsidP="003104BD">
      <w:pPr>
        <w:widowControl w:val="0"/>
        <w:suppressAutoHyphens/>
        <w:spacing w:line="276" w:lineRule="auto"/>
        <w:ind w:left="284"/>
        <w:jc w:val="both"/>
        <w:rPr>
          <w:rFonts w:ascii="Arial" w:eastAsia="Arial Unicode MS" w:hAnsi="Arial" w:cs="Arial"/>
          <w:bCs/>
          <w:lang w:eastAsia="en-PH"/>
        </w:rPr>
      </w:pPr>
    </w:p>
    <w:p w:rsidR="00490D4B" w:rsidRPr="003104BD" w:rsidRDefault="00490D4B" w:rsidP="00A95F61">
      <w:pPr>
        <w:widowControl w:val="0"/>
        <w:suppressAutoHyphens/>
        <w:spacing w:line="360" w:lineRule="auto"/>
        <w:ind w:left="284"/>
        <w:jc w:val="both"/>
        <w:rPr>
          <w:rFonts w:ascii="Arial" w:eastAsia="Arial Unicode MS" w:hAnsi="Arial" w:cs="Arial"/>
          <w:bCs/>
          <w:lang w:eastAsia="en-PH"/>
        </w:rPr>
      </w:pPr>
      <w:r w:rsidRPr="003104BD">
        <w:rPr>
          <w:rFonts w:ascii="Arial" w:eastAsia="Arial Unicode MS" w:hAnsi="Arial" w:cs="Arial"/>
          <w:bCs/>
          <w:lang w:eastAsia="en-PH"/>
        </w:rPr>
        <w:t xml:space="preserve">Insofar as Eskom’s energy send out is concerned, </w:t>
      </w:r>
      <w:r w:rsidRPr="003104BD">
        <w:rPr>
          <w:rFonts w:ascii="Arial" w:eastAsia="Arial Unicode MS" w:hAnsi="Arial" w:cs="Arial"/>
          <w:bCs/>
          <w:lang w:val="en-GB" w:eastAsia="en-PH"/>
        </w:rPr>
        <w:t>cognisance</w:t>
      </w:r>
      <w:r w:rsidRPr="003104BD">
        <w:rPr>
          <w:rFonts w:ascii="Arial" w:eastAsia="Arial Unicode MS" w:hAnsi="Arial" w:cs="Arial"/>
          <w:bCs/>
          <w:lang w:eastAsia="en-PH"/>
        </w:rPr>
        <w:t xml:space="preserve"> must also be taken of the impact on the country, the Independent Power Producers (IPPs) </w:t>
      </w:r>
      <w:r w:rsidRPr="003104BD">
        <w:rPr>
          <w:rFonts w:ascii="Arial" w:eastAsia="Arial Unicode MS" w:hAnsi="Arial" w:cs="Arial"/>
          <w:bCs/>
          <w:lang w:val="en-GB" w:eastAsia="en-PH"/>
        </w:rPr>
        <w:t>programme</w:t>
      </w:r>
      <w:r w:rsidRPr="003104BD">
        <w:rPr>
          <w:rFonts w:ascii="Arial" w:eastAsia="Arial Unicode MS" w:hAnsi="Arial" w:cs="Arial"/>
          <w:bCs/>
          <w:lang w:eastAsia="en-PH"/>
        </w:rPr>
        <w:t xml:space="preserve"> had over the period. Eskom’s contribution has reduced from 95.4% of the energy needed to meet consumer demand in FY 2008 to 90.0% in FY 2021, with the IPP (introduced in FY 2011) contributing 6.0% of the supply in FY 2021 – the balance is linked to the import of energy. Finally, there must also be an appreciation that the Generation plant became 15 years older during this period.</w:t>
      </w:r>
    </w:p>
    <w:p w:rsidR="00490D4B" w:rsidRPr="003104BD" w:rsidRDefault="00490D4B" w:rsidP="00490D4B">
      <w:pPr>
        <w:widowControl w:val="0"/>
        <w:suppressAutoHyphens/>
        <w:spacing w:line="276" w:lineRule="auto"/>
        <w:ind w:hanging="567"/>
        <w:jc w:val="both"/>
        <w:rPr>
          <w:rFonts w:ascii="Arial" w:eastAsia="Arial Unicode MS" w:hAnsi="Arial" w:cs="Arial"/>
          <w:bCs/>
          <w:sz w:val="22"/>
          <w:szCs w:val="22"/>
          <w:lang w:eastAsia="en-PH"/>
        </w:rPr>
      </w:pPr>
    </w:p>
    <w:p w:rsidR="00490D4B" w:rsidRDefault="00490D4B" w:rsidP="008F1057">
      <w:pPr>
        <w:autoSpaceDE w:val="0"/>
        <w:autoSpaceDN w:val="0"/>
        <w:adjustRightInd w:val="0"/>
        <w:ind w:left="284"/>
        <w:rPr>
          <w:rFonts w:ascii="Arial" w:hAnsi="Arial" w:cs="Arial"/>
          <w:b/>
          <w:sz w:val="22"/>
          <w:szCs w:val="22"/>
        </w:rPr>
      </w:pPr>
    </w:p>
    <w:p w:rsidR="009F4B23" w:rsidRPr="009F4B23" w:rsidRDefault="00C03A0F" w:rsidP="00AA084A">
      <w:pPr>
        <w:widowControl w:val="0"/>
        <w:suppressAutoHyphens/>
        <w:spacing w:line="360" w:lineRule="auto"/>
        <w:jc w:val="both"/>
        <w:rPr>
          <w:rFonts w:ascii="Arial" w:hAnsi="Arial" w:cs="Arial"/>
          <w:b/>
          <w:bCs/>
          <w:lang w:val="en-ZA"/>
        </w:rPr>
      </w:pPr>
      <w:r>
        <w:rPr>
          <w:rFonts w:ascii="Arial" w:eastAsia="Arial Unicode MS" w:hAnsi="Arial" w:cs="Arial"/>
          <w:bCs/>
          <w:lang w:eastAsia="en-PH"/>
        </w:rPr>
        <w:t xml:space="preserve">    </w:t>
      </w:r>
    </w:p>
    <w:sectPr w:rsidR="009F4B23"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6B1" w:rsidRDefault="000436B1" w:rsidP="006A43DE">
      <w:r>
        <w:separator/>
      </w:r>
    </w:p>
  </w:endnote>
  <w:endnote w:type="continuationSeparator" w:id="0">
    <w:p w:rsidR="000436B1" w:rsidRDefault="000436B1"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6B1" w:rsidRDefault="000436B1" w:rsidP="006A43DE">
      <w:r>
        <w:separator/>
      </w:r>
    </w:p>
  </w:footnote>
  <w:footnote w:type="continuationSeparator" w:id="0">
    <w:p w:rsidR="000436B1" w:rsidRDefault="000436B1"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E503C42"/>
    <w:multiLevelType w:val="hybridMultilevel"/>
    <w:tmpl w:val="A77A6306"/>
    <w:lvl w:ilvl="0" w:tplc="11D43D3E">
      <w:start w:val="1"/>
      <w:numFmt w:val="decimal"/>
      <w:lvlText w:val="(%1)"/>
      <w:lvlJc w:val="left"/>
      <w:pPr>
        <w:ind w:left="1504" w:hanging="795"/>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EA6972"/>
    <w:multiLevelType w:val="hybridMultilevel"/>
    <w:tmpl w:val="FFD08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8A1889"/>
    <w:multiLevelType w:val="hybridMultilevel"/>
    <w:tmpl w:val="3222A9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44410C"/>
    <w:multiLevelType w:val="hybridMultilevel"/>
    <w:tmpl w:val="724063D6"/>
    <w:lvl w:ilvl="0" w:tplc="961C3950">
      <w:start w:val="1"/>
      <w:numFmt w:val="lowerLetter"/>
      <w:lvlText w:val="(%1)"/>
      <w:lvlJc w:val="center"/>
      <w:pPr>
        <w:ind w:left="720" w:hanging="360"/>
      </w:pPr>
      <w:rPr>
        <w:rFonts w:ascii="Arial" w:eastAsia="Arial Unicode MS"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B0424D"/>
    <w:multiLevelType w:val="hybridMultilevel"/>
    <w:tmpl w:val="710E96D2"/>
    <w:lvl w:ilvl="0" w:tplc="FD5A175C">
      <w:start w:val="1"/>
      <w:numFmt w:val="lowerLetter"/>
      <w:lvlText w:val="(%1)"/>
      <w:lvlJc w:val="left"/>
      <w:pPr>
        <w:ind w:left="630" w:hanging="360"/>
      </w:pPr>
      <w:rPr>
        <w:rFonts w:cs="Arial" w:hint="default"/>
        <w:sz w:val="24"/>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8">
    <w:nsid w:val="1CA06F3E"/>
    <w:multiLevelType w:val="hybridMultilevel"/>
    <w:tmpl w:val="DB5CDC02"/>
    <w:lvl w:ilvl="0" w:tplc="0AA49544">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9">
    <w:nsid w:val="1DFE5839"/>
    <w:multiLevelType w:val="hybridMultilevel"/>
    <w:tmpl w:val="CF6E61A4"/>
    <w:lvl w:ilvl="0" w:tplc="9756340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12">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3">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5">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8">
    <w:nsid w:val="3ACF67DE"/>
    <w:multiLevelType w:val="hybridMultilevel"/>
    <w:tmpl w:val="E7E61E8A"/>
    <w:lvl w:ilvl="0" w:tplc="1C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B8227B7"/>
    <w:multiLevelType w:val="hybridMultilevel"/>
    <w:tmpl w:val="B46AEC12"/>
    <w:lvl w:ilvl="0" w:tplc="FCDE6B14">
      <w:start w:val="1"/>
      <w:numFmt w:val="lowerLetter"/>
      <w:lvlText w:val="%1."/>
      <w:lvlJc w:val="center"/>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1">
    <w:nsid w:val="40194C5B"/>
    <w:multiLevelType w:val="hybridMultilevel"/>
    <w:tmpl w:val="5C3CE794"/>
    <w:lvl w:ilvl="0" w:tplc="C032E7C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2">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3">
    <w:nsid w:val="41B159E5"/>
    <w:multiLevelType w:val="hybridMultilevel"/>
    <w:tmpl w:val="F94C7E52"/>
    <w:lvl w:ilvl="0" w:tplc="2A08B9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5">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28">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30">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1">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3">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4">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5">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7047370"/>
    <w:multiLevelType w:val="hybridMultilevel"/>
    <w:tmpl w:val="69EC18A0"/>
    <w:lvl w:ilvl="0" w:tplc="E69CAB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40">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42">
    <w:nsid w:val="6A464137"/>
    <w:multiLevelType w:val="hybridMultilevel"/>
    <w:tmpl w:val="62BE849A"/>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6F6001C2"/>
    <w:multiLevelType w:val="hybridMultilevel"/>
    <w:tmpl w:val="103047BA"/>
    <w:lvl w:ilvl="0" w:tplc="F6803894">
      <w:start w:val="1"/>
      <w:numFmt w:val="decimal"/>
      <w:lvlText w:val="(%1)"/>
      <w:lvlJc w:val="left"/>
      <w:pPr>
        <w:ind w:left="630" w:hanging="360"/>
      </w:pPr>
      <w:rPr>
        <w:rFonts w:eastAsia="Calibri" w:hint="default"/>
        <w:b w:val="0"/>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44">
    <w:nsid w:val="752C6D59"/>
    <w:multiLevelType w:val="hybridMultilevel"/>
    <w:tmpl w:val="8E70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120C10"/>
    <w:multiLevelType w:val="hybridMultilevel"/>
    <w:tmpl w:val="CCDCCF0A"/>
    <w:lvl w:ilvl="0" w:tplc="D750B75C">
      <w:start w:val="1"/>
      <w:numFmt w:val="decimal"/>
      <w:lvlText w:val="(%1)"/>
      <w:lvlJc w:val="left"/>
      <w:pPr>
        <w:ind w:left="644" w:hanging="360"/>
      </w:pPr>
      <w:rPr>
        <w:rFonts w:hint="default"/>
        <w:b w:val="0"/>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7">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2D5527"/>
    <w:multiLevelType w:val="hybridMultilevel"/>
    <w:tmpl w:val="FCB0B572"/>
    <w:lvl w:ilvl="0" w:tplc="1C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40"/>
  </w:num>
  <w:num w:numId="3">
    <w:abstractNumId w:val="24"/>
  </w:num>
  <w:num w:numId="4">
    <w:abstractNumId w:val="33"/>
  </w:num>
  <w:num w:numId="5">
    <w:abstractNumId w:val="34"/>
  </w:num>
  <w:num w:numId="6">
    <w:abstractNumId w:val="1"/>
  </w:num>
  <w:num w:numId="7">
    <w:abstractNumId w:val="30"/>
  </w:num>
  <w:num w:numId="8">
    <w:abstractNumId w:val="32"/>
  </w:num>
  <w:num w:numId="9">
    <w:abstractNumId w:val="14"/>
  </w:num>
  <w:num w:numId="10">
    <w:abstractNumId w:val="17"/>
  </w:num>
  <w:num w:numId="11">
    <w:abstractNumId w:val="20"/>
  </w:num>
  <w:num w:numId="12">
    <w:abstractNumId w:val="29"/>
  </w:num>
  <w:num w:numId="13">
    <w:abstractNumId w:val="38"/>
  </w:num>
  <w:num w:numId="14">
    <w:abstractNumId w:val="31"/>
  </w:num>
  <w:num w:numId="15">
    <w:abstractNumId w:val="27"/>
  </w:num>
  <w:num w:numId="16">
    <w:abstractNumId w:val="15"/>
  </w:num>
  <w:num w:numId="17">
    <w:abstractNumId w:val="41"/>
  </w:num>
  <w:num w:numId="18">
    <w:abstractNumId w:val="22"/>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6"/>
  </w:num>
  <w:num w:numId="22">
    <w:abstractNumId w:val="11"/>
  </w:num>
  <w:num w:numId="23">
    <w:abstractNumId w:val="5"/>
  </w:num>
  <w:num w:numId="24">
    <w:abstractNumId w:val="25"/>
  </w:num>
  <w:num w:numId="25">
    <w:abstractNumId w:val="10"/>
  </w:num>
  <w:num w:numId="26">
    <w:abstractNumId w:val="13"/>
  </w:num>
  <w:num w:numId="27">
    <w:abstractNumId w:val="0"/>
  </w:num>
  <w:num w:numId="28">
    <w:abstractNumId w:val="35"/>
  </w:num>
  <w:num w:numId="29">
    <w:abstractNumId w:val="45"/>
  </w:num>
  <w:num w:numId="30">
    <w:abstractNumId w:val="12"/>
  </w:num>
  <w:num w:numId="31">
    <w:abstractNumId w:val="47"/>
  </w:num>
  <w:num w:numId="32">
    <w:abstractNumId w:val="28"/>
  </w:num>
  <w:num w:numId="33">
    <w:abstractNumId w:val="36"/>
  </w:num>
  <w:num w:numId="34">
    <w:abstractNumId w:val="2"/>
  </w:num>
  <w:num w:numId="35">
    <w:abstractNumId w:val="6"/>
  </w:num>
  <w:num w:numId="36">
    <w:abstractNumId w:val="3"/>
  </w:num>
  <w:num w:numId="37">
    <w:abstractNumId w:val="19"/>
  </w:num>
  <w:num w:numId="38">
    <w:abstractNumId w:val="7"/>
  </w:num>
  <w:num w:numId="39">
    <w:abstractNumId w:val="46"/>
  </w:num>
  <w:num w:numId="40">
    <w:abstractNumId w:val="4"/>
  </w:num>
  <w:num w:numId="41">
    <w:abstractNumId w:val="42"/>
  </w:num>
  <w:num w:numId="42">
    <w:abstractNumId w:val="23"/>
  </w:num>
  <w:num w:numId="43">
    <w:abstractNumId w:val="9"/>
  </w:num>
  <w:num w:numId="44">
    <w:abstractNumId w:val="8"/>
  </w:num>
  <w:num w:numId="45">
    <w:abstractNumId w:val="21"/>
  </w:num>
  <w:num w:numId="46">
    <w:abstractNumId w:val="43"/>
  </w:num>
  <w:num w:numId="47">
    <w:abstractNumId w:val="44"/>
  </w:num>
  <w:num w:numId="48">
    <w:abstractNumId w:val="48"/>
  </w:num>
  <w:num w:numId="49">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1280"/>
    <w:rsid w:val="00017CD7"/>
    <w:rsid w:val="000436B1"/>
    <w:rsid w:val="000568B9"/>
    <w:rsid w:val="000602C8"/>
    <w:rsid w:val="000629C6"/>
    <w:rsid w:val="000637C0"/>
    <w:rsid w:val="0006424B"/>
    <w:rsid w:val="00071BD8"/>
    <w:rsid w:val="00074EBD"/>
    <w:rsid w:val="00074F0B"/>
    <w:rsid w:val="0008029D"/>
    <w:rsid w:val="00083713"/>
    <w:rsid w:val="000856BB"/>
    <w:rsid w:val="0008678C"/>
    <w:rsid w:val="00090AD5"/>
    <w:rsid w:val="0009659A"/>
    <w:rsid w:val="000B1317"/>
    <w:rsid w:val="000B6791"/>
    <w:rsid w:val="000B75A2"/>
    <w:rsid w:val="000C4756"/>
    <w:rsid w:val="000C48EB"/>
    <w:rsid w:val="000F1091"/>
    <w:rsid w:val="000F6FB5"/>
    <w:rsid w:val="000F7318"/>
    <w:rsid w:val="00110E63"/>
    <w:rsid w:val="001166F8"/>
    <w:rsid w:val="001204BE"/>
    <w:rsid w:val="00125D8E"/>
    <w:rsid w:val="00141EAA"/>
    <w:rsid w:val="00152E8D"/>
    <w:rsid w:val="00153347"/>
    <w:rsid w:val="00153F81"/>
    <w:rsid w:val="00162952"/>
    <w:rsid w:val="001633F2"/>
    <w:rsid w:val="00164073"/>
    <w:rsid w:val="00170AB9"/>
    <w:rsid w:val="0017710C"/>
    <w:rsid w:val="00190B0B"/>
    <w:rsid w:val="00190B29"/>
    <w:rsid w:val="00192EAB"/>
    <w:rsid w:val="001961F0"/>
    <w:rsid w:val="001B13C2"/>
    <w:rsid w:val="001C647A"/>
    <w:rsid w:val="001D28C7"/>
    <w:rsid w:val="001D4235"/>
    <w:rsid w:val="001E09A9"/>
    <w:rsid w:val="001E1264"/>
    <w:rsid w:val="001F33B3"/>
    <w:rsid w:val="00203DB9"/>
    <w:rsid w:val="00203FBE"/>
    <w:rsid w:val="00204352"/>
    <w:rsid w:val="00210533"/>
    <w:rsid w:val="00225771"/>
    <w:rsid w:val="00232FDA"/>
    <w:rsid w:val="00240401"/>
    <w:rsid w:val="00243068"/>
    <w:rsid w:val="0024356C"/>
    <w:rsid w:val="00246DF8"/>
    <w:rsid w:val="00252DE2"/>
    <w:rsid w:val="00254818"/>
    <w:rsid w:val="0026770C"/>
    <w:rsid w:val="00270D85"/>
    <w:rsid w:val="00271AFC"/>
    <w:rsid w:val="00282EB8"/>
    <w:rsid w:val="002C030C"/>
    <w:rsid w:val="002C3F65"/>
    <w:rsid w:val="002D411A"/>
    <w:rsid w:val="002E2DC3"/>
    <w:rsid w:val="002F0387"/>
    <w:rsid w:val="002F1297"/>
    <w:rsid w:val="002F5F24"/>
    <w:rsid w:val="003042F7"/>
    <w:rsid w:val="00307D62"/>
    <w:rsid w:val="003104BD"/>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15F1"/>
    <w:rsid w:val="003D0F34"/>
    <w:rsid w:val="003D13D8"/>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07E5"/>
    <w:rsid w:val="004653BA"/>
    <w:rsid w:val="0047791E"/>
    <w:rsid w:val="00483D87"/>
    <w:rsid w:val="00490D4B"/>
    <w:rsid w:val="004A2142"/>
    <w:rsid w:val="004A41DC"/>
    <w:rsid w:val="004A4357"/>
    <w:rsid w:val="004A7763"/>
    <w:rsid w:val="004B1D3B"/>
    <w:rsid w:val="004B3EDA"/>
    <w:rsid w:val="004C0939"/>
    <w:rsid w:val="004C1F3F"/>
    <w:rsid w:val="004C3CFA"/>
    <w:rsid w:val="004C6935"/>
    <w:rsid w:val="004E4E93"/>
    <w:rsid w:val="004E50AB"/>
    <w:rsid w:val="004F4E11"/>
    <w:rsid w:val="004F5833"/>
    <w:rsid w:val="004F6D7D"/>
    <w:rsid w:val="00500074"/>
    <w:rsid w:val="00500581"/>
    <w:rsid w:val="00502990"/>
    <w:rsid w:val="00505859"/>
    <w:rsid w:val="005070B8"/>
    <w:rsid w:val="00512022"/>
    <w:rsid w:val="005206AC"/>
    <w:rsid w:val="00521620"/>
    <w:rsid w:val="00533F1A"/>
    <w:rsid w:val="00534DDF"/>
    <w:rsid w:val="0054518F"/>
    <w:rsid w:val="0055786B"/>
    <w:rsid w:val="00563DAA"/>
    <w:rsid w:val="005703CE"/>
    <w:rsid w:val="005843D2"/>
    <w:rsid w:val="005B2A1A"/>
    <w:rsid w:val="005C2884"/>
    <w:rsid w:val="005C28EA"/>
    <w:rsid w:val="005C408E"/>
    <w:rsid w:val="005C580C"/>
    <w:rsid w:val="005D1885"/>
    <w:rsid w:val="005D4F0C"/>
    <w:rsid w:val="00601570"/>
    <w:rsid w:val="00603B95"/>
    <w:rsid w:val="00607F78"/>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5A5E"/>
    <w:rsid w:val="006D2F5B"/>
    <w:rsid w:val="006D3B92"/>
    <w:rsid w:val="006D650A"/>
    <w:rsid w:val="006E226F"/>
    <w:rsid w:val="006E28F9"/>
    <w:rsid w:val="006F5FEE"/>
    <w:rsid w:val="00711E1F"/>
    <w:rsid w:val="00716A5F"/>
    <w:rsid w:val="007173B7"/>
    <w:rsid w:val="00735AB2"/>
    <w:rsid w:val="007410D8"/>
    <w:rsid w:val="00741768"/>
    <w:rsid w:val="00753188"/>
    <w:rsid w:val="00761EBB"/>
    <w:rsid w:val="00763854"/>
    <w:rsid w:val="00766B05"/>
    <w:rsid w:val="00767C12"/>
    <w:rsid w:val="00772932"/>
    <w:rsid w:val="00773B34"/>
    <w:rsid w:val="00780828"/>
    <w:rsid w:val="00782018"/>
    <w:rsid w:val="007840BD"/>
    <w:rsid w:val="00784B7D"/>
    <w:rsid w:val="00793BF5"/>
    <w:rsid w:val="007A0FE4"/>
    <w:rsid w:val="007A77D7"/>
    <w:rsid w:val="007B1C58"/>
    <w:rsid w:val="007B2942"/>
    <w:rsid w:val="007C424F"/>
    <w:rsid w:val="007C43A8"/>
    <w:rsid w:val="007C48D9"/>
    <w:rsid w:val="007E6189"/>
    <w:rsid w:val="007F0BBB"/>
    <w:rsid w:val="007F26A6"/>
    <w:rsid w:val="007F2BDB"/>
    <w:rsid w:val="00817F1E"/>
    <w:rsid w:val="00824E8E"/>
    <w:rsid w:val="00837E6B"/>
    <w:rsid w:val="00853D65"/>
    <w:rsid w:val="00861639"/>
    <w:rsid w:val="00863B17"/>
    <w:rsid w:val="00887188"/>
    <w:rsid w:val="0089120C"/>
    <w:rsid w:val="00892DE3"/>
    <w:rsid w:val="00892DFB"/>
    <w:rsid w:val="008960B2"/>
    <w:rsid w:val="008968F5"/>
    <w:rsid w:val="008A5641"/>
    <w:rsid w:val="008A64C8"/>
    <w:rsid w:val="008B50CB"/>
    <w:rsid w:val="008B5545"/>
    <w:rsid w:val="008C128F"/>
    <w:rsid w:val="008C3840"/>
    <w:rsid w:val="008C4B6D"/>
    <w:rsid w:val="008D1F89"/>
    <w:rsid w:val="008D3A03"/>
    <w:rsid w:val="008D69A4"/>
    <w:rsid w:val="008D6B81"/>
    <w:rsid w:val="008D728C"/>
    <w:rsid w:val="008E060D"/>
    <w:rsid w:val="008E1024"/>
    <w:rsid w:val="008E1A9C"/>
    <w:rsid w:val="008F1057"/>
    <w:rsid w:val="008F183C"/>
    <w:rsid w:val="00900F94"/>
    <w:rsid w:val="0090214F"/>
    <w:rsid w:val="0090365F"/>
    <w:rsid w:val="00903F84"/>
    <w:rsid w:val="00905B7B"/>
    <w:rsid w:val="00906ED3"/>
    <w:rsid w:val="009144BA"/>
    <w:rsid w:val="009200EB"/>
    <w:rsid w:val="00920EC4"/>
    <w:rsid w:val="00921240"/>
    <w:rsid w:val="00925744"/>
    <w:rsid w:val="00930D31"/>
    <w:rsid w:val="00935725"/>
    <w:rsid w:val="00941FC3"/>
    <w:rsid w:val="00942881"/>
    <w:rsid w:val="0095077D"/>
    <w:rsid w:val="00952742"/>
    <w:rsid w:val="009561E6"/>
    <w:rsid w:val="00956AE9"/>
    <w:rsid w:val="00957EA0"/>
    <w:rsid w:val="00961B9E"/>
    <w:rsid w:val="009632E6"/>
    <w:rsid w:val="00972069"/>
    <w:rsid w:val="00982F8C"/>
    <w:rsid w:val="0098319C"/>
    <w:rsid w:val="00984FB5"/>
    <w:rsid w:val="009A53BF"/>
    <w:rsid w:val="009B4F7B"/>
    <w:rsid w:val="009B6439"/>
    <w:rsid w:val="009C440F"/>
    <w:rsid w:val="009C4542"/>
    <w:rsid w:val="009D185F"/>
    <w:rsid w:val="009D2819"/>
    <w:rsid w:val="009D531B"/>
    <w:rsid w:val="009E0714"/>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46A96"/>
    <w:rsid w:val="00A5793B"/>
    <w:rsid w:val="00A6074F"/>
    <w:rsid w:val="00A77EA7"/>
    <w:rsid w:val="00A83BB5"/>
    <w:rsid w:val="00A9377A"/>
    <w:rsid w:val="00A95F61"/>
    <w:rsid w:val="00A96EFA"/>
    <w:rsid w:val="00AA084A"/>
    <w:rsid w:val="00AA1B7C"/>
    <w:rsid w:val="00AB4CE7"/>
    <w:rsid w:val="00AB620F"/>
    <w:rsid w:val="00AD433D"/>
    <w:rsid w:val="00AE07A0"/>
    <w:rsid w:val="00AE7A7D"/>
    <w:rsid w:val="00AF3D71"/>
    <w:rsid w:val="00B0020D"/>
    <w:rsid w:val="00B143AB"/>
    <w:rsid w:val="00B15A06"/>
    <w:rsid w:val="00B2314F"/>
    <w:rsid w:val="00B34D01"/>
    <w:rsid w:val="00B37418"/>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0140"/>
    <w:rsid w:val="00BF2510"/>
    <w:rsid w:val="00C037D2"/>
    <w:rsid w:val="00C03A0F"/>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5090"/>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22B4"/>
    <w:rsid w:val="00DE52C7"/>
    <w:rsid w:val="00DF2645"/>
    <w:rsid w:val="00DF6415"/>
    <w:rsid w:val="00E03991"/>
    <w:rsid w:val="00E06376"/>
    <w:rsid w:val="00E06501"/>
    <w:rsid w:val="00E11FBB"/>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26613"/>
    <w:rsid w:val="00F31673"/>
    <w:rsid w:val="00F31B90"/>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5621"/>
    <w:rsid w:val="00FA5774"/>
    <w:rsid w:val="00FB0766"/>
    <w:rsid w:val="00FB5183"/>
    <w:rsid w:val="00FB525C"/>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B9"/>
    <w:rPr>
      <w:sz w:val="24"/>
      <w:szCs w:val="24"/>
    </w:rPr>
  </w:style>
  <w:style w:type="paragraph" w:styleId="Heading1">
    <w:name w:val="heading 1"/>
    <w:basedOn w:val="Normal"/>
    <w:next w:val="Normal"/>
    <w:qFormat/>
    <w:rsid w:val="00203DB9"/>
    <w:pPr>
      <w:keepNext/>
      <w:spacing w:line="312" w:lineRule="auto"/>
      <w:ind w:left="540"/>
      <w:outlineLvl w:val="0"/>
    </w:pPr>
    <w:rPr>
      <w:rFonts w:ascii="Arial" w:hAnsi="Arial" w:cs="Arial"/>
      <w:b/>
      <w:bCs/>
    </w:rPr>
  </w:style>
  <w:style w:type="paragraph" w:styleId="Heading2">
    <w:name w:val="heading 2"/>
    <w:basedOn w:val="Normal"/>
    <w:next w:val="Normal"/>
    <w:qFormat/>
    <w:rsid w:val="00203DB9"/>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203DB9"/>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203DB9"/>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203DB9"/>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C4A0-AA10-4564-A70E-0CEEA546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3245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2022-11-09T14:20:00Z</cp:lastPrinted>
  <dcterms:created xsi:type="dcterms:W3CDTF">2022-11-30T09:13:00Z</dcterms:created>
  <dcterms:modified xsi:type="dcterms:W3CDTF">2022-11-30T09:13:00Z</dcterms:modified>
</cp:coreProperties>
</file>