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34" w:rsidRDefault="00A65F34" w:rsidP="007E334E">
      <w:pPr>
        <w:spacing w:line="276" w:lineRule="auto"/>
        <w:ind w:left="426" w:right="328"/>
        <w:jc w:val="center"/>
      </w:pPr>
    </w:p>
    <w:p w:rsidR="00A65F34" w:rsidRDefault="00A65F34" w:rsidP="007E334E">
      <w:pPr>
        <w:spacing w:line="276" w:lineRule="auto"/>
        <w:ind w:left="426" w:right="328"/>
        <w:jc w:val="center"/>
      </w:pPr>
    </w:p>
    <w:p w:rsidR="00A65F34" w:rsidRDefault="00B418D9" w:rsidP="007E334E">
      <w:pPr>
        <w:spacing w:line="276" w:lineRule="auto"/>
        <w:ind w:left="-142" w:right="328"/>
        <w:jc w:val="center"/>
      </w:pPr>
      <w:r>
        <w:rPr>
          <w:noProof/>
          <w:lang w:val="en-ZA" w:eastAsia="en-ZA"/>
        </w:rPr>
        <w:drawing>
          <wp:inline distT="0" distB="0" distL="0" distR="0">
            <wp:extent cx="1419225" cy="18954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19225" cy="1895475"/>
                    </a:xfrm>
                    <a:prstGeom prst="rect">
                      <a:avLst/>
                    </a:prstGeom>
                    <a:noFill/>
                    <a:ln w="9525">
                      <a:noFill/>
                      <a:miter lim="800000"/>
                      <a:headEnd/>
                      <a:tailEnd/>
                    </a:ln>
                  </pic:spPr>
                </pic:pic>
              </a:graphicData>
            </a:graphic>
          </wp:inline>
        </w:drawing>
      </w:r>
    </w:p>
    <w:p w:rsidR="00A65F34" w:rsidRDefault="00A65F34" w:rsidP="007E334E">
      <w:pPr>
        <w:spacing w:line="276" w:lineRule="auto"/>
        <w:ind w:left="426" w:right="328"/>
        <w:jc w:val="center"/>
      </w:pPr>
    </w:p>
    <w:p w:rsidR="00A65F34" w:rsidRDefault="00A65F34" w:rsidP="007E334E">
      <w:pPr>
        <w:spacing w:line="276" w:lineRule="auto"/>
        <w:ind w:left="426" w:right="328" w:firstLine="720"/>
        <w:rPr>
          <w:rFonts w:cs="Arial"/>
          <w:b/>
          <w:szCs w:val="24"/>
        </w:rPr>
      </w:pPr>
    </w:p>
    <w:p w:rsidR="00A65F34" w:rsidRPr="006A2DA5" w:rsidRDefault="00A65F34" w:rsidP="007E334E">
      <w:pPr>
        <w:spacing w:line="276" w:lineRule="auto"/>
        <w:ind w:right="328"/>
        <w:jc w:val="center"/>
        <w:rPr>
          <w:rFonts w:cs="Arial"/>
          <w:b/>
          <w:sz w:val="22"/>
          <w:szCs w:val="22"/>
        </w:rPr>
      </w:pPr>
      <w:r w:rsidRPr="006A2DA5">
        <w:rPr>
          <w:rFonts w:cs="Arial"/>
          <w:b/>
          <w:sz w:val="22"/>
          <w:szCs w:val="22"/>
        </w:rPr>
        <w:t>DEPARTMENT: PUBLIC ENTERPRISES</w:t>
      </w:r>
    </w:p>
    <w:p w:rsidR="00A65F34" w:rsidRPr="006A2DA5" w:rsidRDefault="00A65F34" w:rsidP="007E334E">
      <w:pPr>
        <w:spacing w:line="276" w:lineRule="auto"/>
        <w:ind w:right="328"/>
        <w:jc w:val="center"/>
        <w:rPr>
          <w:rFonts w:cs="Arial"/>
          <w:b/>
          <w:sz w:val="22"/>
          <w:szCs w:val="22"/>
        </w:rPr>
      </w:pPr>
      <w:r w:rsidRPr="006A2DA5">
        <w:rPr>
          <w:rFonts w:cs="Arial"/>
          <w:b/>
          <w:sz w:val="22"/>
          <w:szCs w:val="22"/>
        </w:rPr>
        <w:t>REPUBLIC OF SOUTH AFRICA</w:t>
      </w:r>
    </w:p>
    <w:p w:rsidR="00A65F34" w:rsidRPr="006A2DA5" w:rsidRDefault="00A65F34" w:rsidP="007E334E">
      <w:pPr>
        <w:spacing w:line="276" w:lineRule="auto"/>
        <w:ind w:right="328"/>
        <w:jc w:val="center"/>
        <w:rPr>
          <w:rFonts w:cs="Arial"/>
          <w:b/>
          <w:sz w:val="22"/>
          <w:szCs w:val="22"/>
        </w:rPr>
      </w:pPr>
      <w:r w:rsidRPr="006A2DA5">
        <w:rPr>
          <w:rFonts w:cs="Arial"/>
          <w:b/>
          <w:sz w:val="22"/>
          <w:szCs w:val="22"/>
        </w:rPr>
        <w:t>NATIONAL ASSEMBLY</w:t>
      </w:r>
    </w:p>
    <w:p w:rsidR="00A65F34" w:rsidRPr="006A2DA5" w:rsidRDefault="00A65F34" w:rsidP="007E334E">
      <w:pPr>
        <w:spacing w:line="276" w:lineRule="auto"/>
        <w:ind w:left="426" w:right="328"/>
        <w:rPr>
          <w:rFonts w:cs="Arial"/>
          <w:b/>
          <w:bCs/>
          <w:sz w:val="22"/>
          <w:szCs w:val="22"/>
        </w:rPr>
      </w:pPr>
    </w:p>
    <w:p w:rsidR="00A65F34" w:rsidRPr="006A2DA5" w:rsidRDefault="00A65F34" w:rsidP="007E334E">
      <w:pPr>
        <w:spacing w:line="276" w:lineRule="auto"/>
        <w:ind w:left="426" w:right="328"/>
        <w:rPr>
          <w:rFonts w:cs="Arial"/>
          <w:b/>
          <w:bCs/>
          <w:sz w:val="22"/>
          <w:szCs w:val="22"/>
        </w:rPr>
      </w:pPr>
    </w:p>
    <w:p w:rsidR="00A65F34" w:rsidRPr="006A2DA5" w:rsidRDefault="00A65F34" w:rsidP="007E334E">
      <w:pPr>
        <w:spacing w:line="276" w:lineRule="auto"/>
        <w:ind w:left="426" w:right="328"/>
        <w:rPr>
          <w:rFonts w:cs="Arial"/>
          <w:b/>
          <w:bCs/>
          <w:sz w:val="22"/>
          <w:szCs w:val="22"/>
        </w:rPr>
      </w:pPr>
      <w:r w:rsidRPr="006A2DA5">
        <w:rPr>
          <w:rFonts w:cs="Arial"/>
          <w:b/>
          <w:bCs/>
          <w:sz w:val="22"/>
          <w:szCs w:val="22"/>
        </w:rPr>
        <w:t>QUESTION FOR WRITTEN REPLY</w:t>
      </w:r>
    </w:p>
    <w:p w:rsidR="00A65F34" w:rsidRPr="006A2DA5" w:rsidRDefault="00A65F34" w:rsidP="007E334E">
      <w:pPr>
        <w:spacing w:line="276" w:lineRule="auto"/>
        <w:ind w:left="426" w:right="328"/>
        <w:rPr>
          <w:rFonts w:cs="Arial"/>
          <w:b/>
          <w:bCs/>
          <w:sz w:val="22"/>
          <w:szCs w:val="22"/>
        </w:rPr>
      </w:pPr>
    </w:p>
    <w:p w:rsidR="00A65F34" w:rsidRPr="006A2DA5" w:rsidRDefault="00A65F34" w:rsidP="007E334E">
      <w:pPr>
        <w:spacing w:line="276" w:lineRule="auto"/>
        <w:ind w:left="426" w:right="328"/>
        <w:rPr>
          <w:rFonts w:cs="Arial"/>
          <w:b/>
          <w:bCs/>
          <w:sz w:val="22"/>
          <w:szCs w:val="22"/>
        </w:rPr>
      </w:pPr>
      <w:r w:rsidRPr="006A2DA5">
        <w:rPr>
          <w:rFonts w:cs="Arial"/>
          <w:b/>
          <w:bCs/>
          <w:sz w:val="22"/>
          <w:szCs w:val="22"/>
        </w:rPr>
        <w:t>QUESTION NO.: 3910</w:t>
      </w:r>
    </w:p>
    <w:p w:rsidR="00A65F34" w:rsidRPr="006A2DA5" w:rsidRDefault="00A65F34" w:rsidP="007E334E">
      <w:pPr>
        <w:spacing w:line="276" w:lineRule="auto"/>
        <w:ind w:left="426" w:right="328"/>
        <w:rPr>
          <w:rFonts w:cs="Arial"/>
          <w:b/>
          <w:bCs/>
          <w:sz w:val="22"/>
          <w:szCs w:val="22"/>
        </w:rPr>
      </w:pPr>
    </w:p>
    <w:p w:rsidR="00A65F34" w:rsidRPr="006A2DA5" w:rsidRDefault="00A65F34" w:rsidP="007E334E">
      <w:pPr>
        <w:tabs>
          <w:tab w:val="left" w:pos="7088"/>
        </w:tabs>
        <w:spacing w:line="276" w:lineRule="auto"/>
        <w:ind w:left="426" w:right="328"/>
        <w:rPr>
          <w:rFonts w:cs="Arial"/>
          <w:b/>
          <w:sz w:val="22"/>
          <w:szCs w:val="22"/>
        </w:rPr>
      </w:pPr>
      <w:r w:rsidRPr="006A2DA5">
        <w:rPr>
          <w:rFonts w:cs="Arial"/>
          <w:b/>
          <w:bCs/>
          <w:sz w:val="22"/>
          <w:szCs w:val="22"/>
        </w:rPr>
        <w:t xml:space="preserve">DATE OF PUBLICATION: </w:t>
      </w:r>
      <w:r w:rsidRPr="006A2DA5">
        <w:rPr>
          <w:rFonts w:cs="Arial"/>
          <w:b/>
          <w:sz w:val="22"/>
          <w:szCs w:val="22"/>
        </w:rPr>
        <w:t>06 NOVEMBER 2015</w:t>
      </w:r>
    </w:p>
    <w:p w:rsidR="00A65F34" w:rsidRPr="006A2DA5" w:rsidRDefault="00A65F34" w:rsidP="007E334E">
      <w:pPr>
        <w:tabs>
          <w:tab w:val="left" w:pos="7088"/>
        </w:tabs>
        <w:spacing w:line="276" w:lineRule="auto"/>
        <w:ind w:left="426" w:right="328"/>
        <w:rPr>
          <w:rFonts w:cs="Arial"/>
          <w:b/>
          <w:sz w:val="22"/>
          <w:szCs w:val="22"/>
        </w:rPr>
      </w:pPr>
    </w:p>
    <w:tbl>
      <w:tblPr>
        <w:tblW w:w="9072" w:type="dxa"/>
        <w:tblInd w:w="534" w:type="dxa"/>
        <w:tblLayout w:type="fixed"/>
        <w:tblLook w:val="00A0"/>
      </w:tblPr>
      <w:tblGrid>
        <w:gridCol w:w="9072"/>
      </w:tblGrid>
      <w:tr w:rsidR="00A65F34" w:rsidRPr="006A2DA5" w:rsidTr="00890CB1">
        <w:trPr>
          <w:trHeight w:val="3288"/>
        </w:trPr>
        <w:tc>
          <w:tcPr>
            <w:tcW w:w="9072" w:type="dxa"/>
          </w:tcPr>
          <w:p w:rsidR="00A65F34" w:rsidRPr="00890CB1" w:rsidRDefault="00A65F34" w:rsidP="009B400E">
            <w:pPr>
              <w:rPr>
                <w:rFonts w:cs="Arial"/>
                <w:szCs w:val="22"/>
                <w:lang w:val="en-GB"/>
              </w:rPr>
            </w:pPr>
            <w:r w:rsidRPr="00890CB1">
              <w:rPr>
                <w:rFonts w:cs="Arial"/>
                <w:b/>
                <w:bCs/>
                <w:sz w:val="22"/>
                <w:szCs w:val="22"/>
                <w:lang w:val="en-GB"/>
              </w:rPr>
              <w:t>3910.     Mr N Singh (IFP) to ask the Minister of Public Enterprises:</w:t>
            </w:r>
          </w:p>
          <w:p w:rsidR="00A65F34" w:rsidRPr="00890CB1" w:rsidRDefault="00A65F34" w:rsidP="00890CB1">
            <w:pPr>
              <w:spacing w:line="276" w:lineRule="auto"/>
              <w:ind w:left="600" w:hanging="708"/>
              <w:jc w:val="both"/>
              <w:outlineLvl w:val="0"/>
              <w:rPr>
                <w:rFonts w:cs="Arial"/>
                <w:szCs w:val="22"/>
                <w:lang w:val="en-GB"/>
              </w:rPr>
            </w:pPr>
            <w:r w:rsidRPr="00890CB1">
              <w:rPr>
                <w:rFonts w:cs="Arial"/>
                <w:sz w:val="22"/>
                <w:szCs w:val="22"/>
                <w:lang w:val="en-GB"/>
              </w:rPr>
              <w:t xml:space="preserve"> </w:t>
            </w:r>
          </w:p>
          <w:tbl>
            <w:tblPr>
              <w:tblW w:w="7938" w:type="dxa"/>
              <w:tblLayout w:type="fixed"/>
              <w:tblLook w:val="00A0"/>
            </w:tblPr>
            <w:tblGrid>
              <w:gridCol w:w="846"/>
              <w:gridCol w:w="7092"/>
            </w:tblGrid>
            <w:tr w:rsidR="00A65F34" w:rsidRPr="006A2DA5" w:rsidTr="00890CB1">
              <w:tc>
                <w:tcPr>
                  <w:tcW w:w="846" w:type="dxa"/>
                </w:tcPr>
                <w:p w:rsidR="00A65F34" w:rsidRPr="00890CB1" w:rsidRDefault="00A65F34" w:rsidP="00890CB1">
                  <w:pPr>
                    <w:spacing w:line="276" w:lineRule="auto"/>
                    <w:jc w:val="both"/>
                    <w:outlineLvl w:val="0"/>
                    <w:rPr>
                      <w:rFonts w:cs="Arial"/>
                      <w:szCs w:val="22"/>
                      <w:lang w:val="en-GB"/>
                    </w:rPr>
                  </w:pPr>
                  <w:r w:rsidRPr="00890CB1">
                    <w:rPr>
                      <w:rFonts w:cs="Arial"/>
                      <w:sz w:val="22"/>
                      <w:szCs w:val="22"/>
                      <w:lang w:val="en-GB"/>
                    </w:rPr>
                    <w:t>(1)</w:t>
                  </w:r>
                </w:p>
              </w:tc>
              <w:tc>
                <w:tcPr>
                  <w:tcW w:w="7092" w:type="dxa"/>
                </w:tcPr>
                <w:p w:rsidR="00A65F34" w:rsidRPr="00890CB1" w:rsidRDefault="00A65F34" w:rsidP="00890CB1">
                  <w:pPr>
                    <w:spacing w:line="276" w:lineRule="auto"/>
                    <w:jc w:val="both"/>
                    <w:outlineLvl w:val="0"/>
                    <w:rPr>
                      <w:rFonts w:cs="Arial"/>
                      <w:szCs w:val="22"/>
                      <w:lang w:val="en-GB"/>
                    </w:rPr>
                  </w:pPr>
                  <w:r w:rsidRPr="00890CB1">
                    <w:rPr>
                      <w:rFonts w:cs="Arial"/>
                      <w:sz w:val="22"/>
                      <w:szCs w:val="22"/>
                      <w:lang w:val="en-GB"/>
                    </w:rPr>
                    <w:t xml:space="preserve">whether she will take action against the reckless and wasteful expenditure of taxpayers’ money by parastatals that have entered into an agreement to sponsor </w:t>
                  </w:r>
                  <w:r w:rsidRPr="00890CB1">
                    <w:rPr>
                      <w:rFonts w:cs="Arial"/>
                      <w:i/>
                      <w:iCs/>
                      <w:sz w:val="22"/>
                      <w:szCs w:val="22"/>
                      <w:lang w:val="en-GB"/>
                    </w:rPr>
                    <w:t>The New Age</w:t>
                  </w:r>
                  <w:r w:rsidRPr="00890CB1">
                    <w:rPr>
                      <w:rFonts w:cs="Arial"/>
                      <w:sz w:val="22"/>
                      <w:szCs w:val="22"/>
                      <w:lang w:val="en-GB"/>
                    </w:rPr>
                    <w:t xml:space="preserve"> breakfast briefings; if not, why not;</w:t>
                  </w:r>
                </w:p>
                <w:p w:rsidR="00A65F34" w:rsidRPr="00890CB1" w:rsidRDefault="00A65F34" w:rsidP="00890CB1">
                  <w:pPr>
                    <w:spacing w:line="276" w:lineRule="auto"/>
                    <w:jc w:val="both"/>
                    <w:outlineLvl w:val="0"/>
                    <w:rPr>
                      <w:rFonts w:cs="Arial"/>
                      <w:szCs w:val="22"/>
                      <w:lang w:val="en-GB"/>
                    </w:rPr>
                  </w:pPr>
                </w:p>
              </w:tc>
            </w:tr>
            <w:tr w:rsidR="00A65F34" w:rsidRPr="006A2DA5" w:rsidTr="00890CB1">
              <w:tc>
                <w:tcPr>
                  <w:tcW w:w="846" w:type="dxa"/>
                </w:tcPr>
                <w:p w:rsidR="00A65F34" w:rsidRPr="00890CB1" w:rsidRDefault="00A65F34" w:rsidP="00890CB1">
                  <w:pPr>
                    <w:spacing w:line="276" w:lineRule="auto"/>
                    <w:jc w:val="both"/>
                    <w:outlineLvl w:val="0"/>
                    <w:rPr>
                      <w:rFonts w:cs="Arial"/>
                      <w:szCs w:val="22"/>
                      <w:lang w:val="en-GB"/>
                    </w:rPr>
                  </w:pPr>
                  <w:r w:rsidRPr="00890CB1">
                    <w:rPr>
                      <w:rFonts w:cs="Arial"/>
                      <w:sz w:val="22"/>
                      <w:szCs w:val="22"/>
                      <w:lang w:val="en-GB"/>
                    </w:rPr>
                    <w:t>(2)</w:t>
                  </w:r>
                </w:p>
              </w:tc>
              <w:tc>
                <w:tcPr>
                  <w:tcW w:w="7092" w:type="dxa"/>
                </w:tcPr>
                <w:p w:rsidR="00A65F34" w:rsidRPr="00890CB1" w:rsidRDefault="00A65F34" w:rsidP="00890CB1">
                  <w:pPr>
                    <w:spacing w:line="276" w:lineRule="auto"/>
                    <w:jc w:val="both"/>
                    <w:outlineLvl w:val="0"/>
                    <w:rPr>
                      <w:rFonts w:cs="Arial"/>
                      <w:szCs w:val="22"/>
                      <w:lang w:val="en-GB"/>
                    </w:rPr>
                  </w:pPr>
                  <w:r w:rsidRPr="00890CB1">
                    <w:rPr>
                      <w:rFonts w:cs="Arial"/>
                      <w:sz w:val="22"/>
                      <w:szCs w:val="22"/>
                      <w:lang w:val="en-GB"/>
                    </w:rPr>
                    <w:t>What are the (a) names of the parastatals that have entered into the specified agreement and (b) costs incurred in respect of the specified agreement?                                                  NW4766E</w:t>
                  </w:r>
                </w:p>
              </w:tc>
            </w:tr>
          </w:tbl>
          <w:p w:rsidR="00A65F34" w:rsidRPr="00890CB1" w:rsidRDefault="00A65F34" w:rsidP="00890CB1">
            <w:pPr>
              <w:spacing w:line="276" w:lineRule="auto"/>
              <w:ind w:left="600" w:hanging="708"/>
              <w:jc w:val="both"/>
              <w:outlineLvl w:val="0"/>
              <w:rPr>
                <w:rFonts w:cs="Arial"/>
                <w:b/>
                <w:bCs/>
                <w:color w:val="auto"/>
                <w:szCs w:val="22"/>
              </w:rPr>
            </w:pPr>
            <w:r w:rsidRPr="00890CB1">
              <w:rPr>
                <w:rFonts w:cs="Arial"/>
                <w:sz w:val="22"/>
                <w:szCs w:val="22"/>
                <w:lang w:val="en-GB"/>
              </w:rPr>
              <w:t>                                                                                                                                      </w:t>
            </w:r>
          </w:p>
        </w:tc>
      </w:tr>
    </w:tbl>
    <w:p w:rsidR="00A65F34" w:rsidRPr="006A2DA5" w:rsidRDefault="00A65F34" w:rsidP="007E334E">
      <w:pPr>
        <w:pStyle w:val="BodyTextIndent3"/>
        <w:spacing w:line="276" w:lineRule="auto"/>
        <w:ind w:left="426" w:right="328" w:firstLine="0"/>
        <w:rPr>
          <w:rFonts w:cs="Arial"/>
          <w:sz w:val="22"/>
          <w:szCs w:val="22"/>
        </w:rPr>
      </w:pPr>
    </w:p>
    <w:p w:rsidR="00A65F34" w:rsidRPr="006A2DA5" w:rsidRDefault="00A65F34" w:rsidP="007E334E">
      <w:pPr>
        <w:pStyle w:val="ListParagraph"/>
        <w:spacing w:line="276" w:lineRule="auto"/>
        <w:ind w:left="1276" w:right="329" w:hanging="850"/>
        <w:rPr>
          <w:rFonts w:ascii="Arial" w:hAnsi="Arial" w:cs="Arial"/>
          <w:b/>
          <w:sz w:val="22"/>
          <w:szCs w:val="22"/>
        </w:rPr>
      </w:pPr>
      <w:r>
        <w:rPr>
          <w:rFonts w:ascii="Arial" w:hAnsi="Arial" w:cs="Arial"/>
          <w:b/>
          <w:sz w:val="22"/>
          <w:szCs w:val="22"/>
        </w:rPr>
        <w:t>REPLY</w:t>
      </w:r>
    </w:p>
    <w:p w:rsidR="00A65F34" w:rsidRDefault="00A65F34" w:rsidP="007E334E">
      <w:pPr>
        <w:spacing w:line="276" w:lineRule="auto"/>
        <w:ind w:right="329"/>
        <w:rPr>
          <w:rFonts w:cs="Arial"/>
          <w:b/>
          <w:sz w:val="22"/>
          <w:szCs w:val="22"/>
        </w:rPr>
      </w:pPr>
    </w:p>
    <w:p w:rsidR="00A65F34" w:rsidRPr="00E03786" w:rsidRDefault="00A65F34" w:rsidP="00E03786">
      <w:pPr>
        <w:ind w:right="331"/>
        <w:rPr>
          <w:rFonts w:cs="Arial"/>
          <w:bCs/>
          <w:sz w:val="22"/>
          <w:szCs w:val="22"/>
          <w:lang w:val="en-ZA"/>
        </w:rPr>
      </w:pPr>
    </w:p>
    <w:p w:rsidR="00A65F34" w:rsidRPr="00E03786" w:rsidRDefault="00A65F34" w:rsidP="009B400E">
      <w:pPr>
        <w:spacing w:line="360" w:lineRule="auto"/>
        <w:ind w:left="360" w:right="329"/>
        <w:jc w:val="both"/>
        <w:rPr>
          <w:rFonts w:cs="Arial"/>
          <w:bCs/>
          <w:sz w:val="22"/>
          <w:szCs w:val="22"/>
          <w:lang w:val="en-ZA"/>
        </w:rPr>
      </w:pPr>
      <w:r>
        <w:rPr>
          <w:rFonts w:cs="Arial"/>
          <w:bCs/>
          <w:sz w:val="22"/>
          <w:szCs w:val="22"/>
          <w:lang w:val="en-ZA"/>
        </w:rPr>
        <w:t xml:space="preserve">(1) </w:t>
      </w:r>
      <w:r w:rsidRPr="00E03786">
        <w:rPr>
          <w:rFonts w:cs="Arial"/>
          <w:bCs/>
          <w:sz w:val="22"/>
          <w:szCs w:val="22"/>
          <w:lang w:val="en-ZA"/>
        </w:rPr>
        <w:t xml:space="preserve">Only Eskom in its 2015 Annual Financial Statements reported an amount of R4 million as irregular expenditure relating to the SABC/The New Age business breakfast briefings.  This amount was incurred within the contract period but prior to the Board’s ratification. The R4 million amount was only paid over to TNA after the Board’s ratification. </w:t>
      </w:r>
    </w:p>
    <w:p w:rsidR="00A65F34" w:rsidRPr="00E03786" w:rsidRDefault="00A65F34" w:rsidP="009B400E">
      <w:pPr>
        <w:spacing w:line="360" w:lineRule="auto"/>
        <w:ind w:left="360" w:right="329"/>
        <w:jc w:val="both"/>
        <w:rPr>
          <w:rFonts w:cs="Arial"/>
          <w:bCs/>
          <w:sz w:val="22"/>
          <w:szCs w:val="22"/>
          <w:lang w:val="en-ZA"/>
        </w:rPr>
      </w:pPr>
    </w:p>
    <w:p w:rsidR="00A65F34" w:rsidRPr="00E03786" w:rsidRDefault="00A65F34" w:rsidP="00AF7774">
      <w:pPr>
        <w:spacing w:line="360" w:lineRule="auto"/>
        <w:ind w:left="360" w:right="329"/>
        <w:jc w:val="both"/>
        <w:rPr>
          <w:rFonts w:cs="Arial"/>
          <w:bCs/>
          <w:sz w:val="22"/>
          <w:szCs w:val="22"/>
          <w:lang w:val="en-ZA"/>
        </w:rPr>
      </w:pPr>
      <w:r w:rsidRPr="00E03786">
        <w:rPr>
          <w:rFonts w:cs="Arial"/>
          <w:bCs/>
          <w:sz w:val="22"/>
          <w:szCs w:val="22"/>
          <w:lang w:val="en-ZA"/>
        </w:rPr>
        <w:t xml:space="preserve">Regarding irregular, fruitless and wasteful expenditure in general, I am assured that the Boards and Management regularly review the SOCs internal control environment to minimise the risk, and where an incident occurs appropriate measures are taken to deal with the matter, including disciplinary action and/or criminal or civil action against those involved, as considered appropriate. Reporting in respect of financial misconduct has also improved in compliance with the PFMA to ensure that incidents are detected early. </w:t>
      </w:r>
    </w:p>
    <w:p w:rsidR="00A65F34" w:rsidRPr="00E03786" w:rsidRDefault="00A65F34" w:rsidP="009B400E">
      <w:pPr>
        <w:spacing w:line="360" w:lineRule="auto"/>
        <w:ind w:left="450" w:right="329" w:hanging="450"/>
        <w:jc w:val="both"/>
        <w:rPr>
          <w:rFonts w:cs="Arial"/>
          <w:color w:val="auto"/>
          <w:sz w:val="22"/>
          <w:szCs w:val="22"/>
        </w:rPr>
      </w:pPr>
    </w:p>
    <w:p w:rsidR="00A65F34" w:rsidRDefault="00A65F34" w:rsidP="00E03786">
      <w:pPr>
        <w:spacing w:line="360" w:lineRule="auto"/>
        <w:ind w:left="360" w:right="331"/>
        <w:jc w:val="both"/>
        <w:rPr>
          <w:rFonts w:cs="Arial"/>
          <w:color w:val="auto"/>
          <w:sz w:val="22"/>
          <w:szCs w:val="22"/>
        </w:rPr>
      </w:pPr>
      <w:r w:rsidRPr="00E03786">
        <w:rPr>
          <w:rFonts w:cs="Arial"/>
          <w:color w:val="auto"/>
          <w:sz w:val="22"/>
          <w:szCs w:val="22"/>
        </w:rPr>
        <w:t>(2)(a)</w:t>
      </w:r>
      <w:r>
        <w:rPr>
          <w:rFonts w:cs="Arial"/>
          <w:color w:val="auto"/>
          <w:sz w:val="22"/>
          <w:szCs w:val="22"/>
        </w:rPr>
        <w:t xml:space="preserve"> </w:t>
      </w:r>
      <w:r w:rsidRPr="00E03786">
        <w:rPr>
          <w:rFonts w:cs="Arial"/>
          <w:color w:val="auto"/>
          <w:sz w:val="22"/>
          <w:szCs w:val="22"/>
        </w:rPr>
        <w:t>Alexkor, Denel, SAFCOL and SA Express have not entered into an agreement with SABC/The New Age on the business breakfast briefings; Eskom and Transnet have existing contracts.</w:t>
      </w:r>
    </w:p>
    <w:p w:rsidR="00A65F34" w:rsidRDefault="00A65F34" w:rsidP="00E03786">
      <w:pPr>
        <w:spacing w:line="360" w:lineRule="auto"/>
        <w:ind w:left="360" w:right="331"/>
        <w:jc w:val="both"/>
        <w:rPr>
          <w:rFonts w:cs="Arial"/>
          <w:color w:val="auto"/>
          <w:sz w:val="22"/>
          <w:szCs w:val="22"/>
        </w:rPr>
      </w:pPr>
    </w:p>
    <w:p w:rsidR="00A65F34" w:rsidRDefault="00A65F34" w:rsidP="00E03786">
      <w:pPr>
        <w:spacing w:line="360" w:lineRule="auto"/>
        <w:ind w:left="360" w:right="331"/>
        <w:jc w:val="both"/>
        <w:rPr>
          <w:rFonts w:cs="Arial"/>
          <w:color w:val="auto"/>
          <w:sz w:val="22"/>
          <w:szCs w:val="22"/>
        </w:rPr>
      </w:pPr>
      <w:r w:rsidRPr="00E03786">
        <w:rPr>
          <w:rFonts w:cs="Arial"/>
          <w:color w:val="auto"/>
          <w:sz w:val="22"/>
          <w:szCs w:val="22"/>
          <w:lang w:val="en-ZA"/>
        </w:rPr>
        <w:t>(2)(b)</w:t>
      </w:r>
      <w:r>
        <w:rPr>
          <w:rFonts w:cs="Arial"/>
          <w:color w:val="auto"/>
          <w:sz w:val="22"/>
          <w:szCs w:val="22"/>
        </w:rPr>
        <w:t xml:space="preserve"> </w:t>
      </w:r>
      <w:r w:rsidRPr="00E03786">
        <w:rPr>
          <w:rFonts w:cs="Arial"/>
          <w:bCs/>
          <w:color w:val="auto"/>
          <w:sz w:val="22"/>
          <w:szCs w:val="22"/>
          <w:lang w:val="en-ZA"/>
        </w:rPr>
        <w:t xml:space="preserve">With regard to Eskom, the SABC/The New Age breakfast briefings contract is R43.2 million, effective 1 May 2014 to 30 April 2017 with 36 briefings planned for the period of the contract. </w:t>
      </w:r>
      <w:r w:rsidRPr="00E03786">
        <w:rPr>
          <w:rFonts w:cs="Arial"/>
          <w:color w:val="auto"/>
          <w:sz w:val="22"/>
          <w:szCs w:val="22"/>
          <w:lang w:val="en-GB"/>
        </w:rPr>
        <w:t>Transnet has contracted for R20 million effective 1 April 2015 to March 2016 with 20 briefings planned for the period. In both SOCs, the Boards have assured me that these agreements have been concluded in line with SOC’s governance processes and that the required approvals are in place.</w:t>
      </w:r>
    </w:p>
    <w:p w:rsidR="00A65F34" w:rsidRDefault="00A65F34" w:rsidP="00E03786">
      <w:pPr>
        <w:spacing w:line="360" w:lineRule="auto"/>
        <w:ind w:left="360" w:right="331"/>
        <w:jc w:val="both"/>
        <w:rPr>
          <w:rFonts w:cs="Arial"/>
          <w:color w:val="auto"/>
          <w:sz w:val="22"/>
          <w:szCs w:val="22"/>
        </w:rPr>
      </w:pPr>
    </w:p>
    <w:p w:rsidR="00A65F34" w:rsidRDefault="00A65F34" w:rsidP="00E03786">
      <w:pPr>
        <w:spacing w:line="360" w:lineRule="auto"/>
        <w:ind w:left="360" w:right="331"/>
        <w:jc w:val="both"/>
        <w:rPr>
          <w:rFonts w:cs="Arial"/>
          <w:color w:val="auto"/>
          <w:sz w:val="22"/>
          <w:szCs w:val="22"/>
        </w:rPr>
      </w:pPr>
    </w:p>
    <w:p w:rsidR="00A65F34" w:rsidRPr="006A2DA5" w:rsidRDefault="00A65F34" w:rsidP="00AD5C74">
      <w:pPr>
        <w:spacing w:line="360" w:lineRule="auto"/>
        <w:ind w:left="450" w:right="331"/>
        <w:jc w:val="both"/>
        <w:rPr>
          <w:rFonts w:cs="Arial"/>
          <w:color w:val="auto"/>
          <w:sz w:val="22"/>
          <w:szCs w:val="22"/>
          <w:lang w:val="en-GB"/>
        </w:rPr>
      </w:pPr>
      <w:bookmarkStart w:id="0" w:name="_GoBack"/>
      <w:bookmarkEnd w:id="0"/>
    </w:p>
    <w:sectPr w:rsidR="00A65F34" w:rsidRPr="006A2DA5" w:rsidSect="001730D8">
      <w:headerReference w:type="even" r:id="rId8"/>
      <w:headerReference w:type="default" r:id="rId9"/>
      <w:footerReference w:type="default" r:id="rId10"/>
      <w:footerReference w:type="first" r:id="rId11"/>
      <w:pgSz w:w="11906" w:h="16838" w:code="9"/>
      <w:pgMar w:top="397" w:right="566" w:bottom="284" w:left="1797"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A0" w:rsidRDefault="00B100A0">
      <w:r>
        <w:separator/>
      </w:r>
    </w:p>
  </w:endnote>
  <w:endnote w:type="continuationSeparator" w:id="0">
    <w:p w:rsidR="00B100A0" w:rsidRDefault="00B10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34" w:rsidRPr="00A27D60" w:rsidRDefault="00A65F34" w:rsidP="00A27D60">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34" w:rsidRDefault="00A65F34" w:rsidP="008F59C5">
    <w:pPr>
      <w:pStyle w:val="Footer"/>
      <w:jc w:val="right"/>
    </w:pPr>
    <w:r w:rsidRPr="008F59C5">
      <w:rPr>
        <w:sz w:val="16"/>
        <w:szCs w:val="16"/>
      </w:rPr>
      <w:t xml:space="preserve">Page </w:t>
    </w:r>
    <w:r w:rsidR="003C5515" w:rsidRPr="008F59C5">
      <w:rPr>
        <w:bCs/>
        <w:sz w:val="16"/>
        <w:szCs w:val="16"/>
      </w:rPr>
      <w:fldChar w:fldCharType="begin"/>
    </w:r>
    <w:r w:rsidRPr="008F59C5">
      <w:rPr>
        <w:bCs/>
        <w:sz w:val="16"/>
        <w:szCs w:val="16"/>
      </w:rPr>
      <w:instrText xml:space="preserve"> PAGE </w:instrText>
    </w:r>
    <w:r w:rsidR="003C5515" w:rsidRPr="008F59C5">
      <w:rPr>
        <w:bCs/>
        <w:sz w:val="16"/>
        <w:szCs w:val="16"/>
      </w:rPr>
      <w:fldChar w:fldCharType="separate"/>
    </w:r>
    <w:r>
      <w:rPr>
        <w:bCs/>
        <w:noProof/>
        <w:sz w:val="16"/>
        <w:szCs w:val="16"/>
      </w:rPr>
      <w:t>1</w:t>
    </w:r>
    <w:r w:rsidR="003C5515" w:rsidRPr="008F59C5">
      <w:rPr>
        <w:bCs/>
        <w:sz w:val="16"/>
        <w:szCs w:val="16"/>
      </w:rPr>
      <w:fldChar w:fldCharType="end"/>
    </w:r>
    <w:r w:rsidRPr="008F59C5">
      <w:rPr>
        <w:sz w:val="16"/>
        <w:szCs w:val="16"/>
      </w:rPr>
      <w:t xml:space="preserve"> of </w:t>
    </w:r>
    <w:r w:rsidR="003C5515" w:rsidRPr="008F59C5">
      <w:rPr>
        <w:bCs/>
        <w:sz w:val="16"/>
        <w:szCs w:val="16"/>
      </w:rPr>
      <w:fldChar w:fldCharType="begin"/>
    </w:r>
    <w:r w:rsidRPr="008F59C5">
      <w:rPr>
        <w:bCs/>
        <w:sz w:val="16"/>
        <w:szCs w:val="16"/>
      </w:rPr>
      <w:instrText xml:space="preserve"> NUMPAGES  </w:instrText>
    </w:r>
    <w:r w:rsidR="003C5515" w:rsidRPr="008F59C5">
      <w:rPr>
        <w:bCs/>
        <w:sz w:val="16"/>
        <w:szCs w:val="16"/>
      </w:rPr>
      <w:fldChar w:fldCharType="separate"/>
    </w:r>
    <w:r>
      <w:rPr>
        <w:bCs/>
        <w:noProof/>
        <w:sz w:val="16"/>
        <w:szCs w:val="16"/>
      </w:rPr>
      <w:t>2</w:t>
    </w:r>
    <w:r w:rsidR="003C5515" w:rsidRPr="008F59C5">
      <w:rPr>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A0" w:rsidRDefault="00B100A0">
      <w:r>
        <w:separator/>
      </w:r>
    </w:p>
  </w:footnote>
  <w:footnote w:type="continuationSeparator" w:id="0">
    <w:p w:rsidR="00B100A0" w:rsidRDefault="00B10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34" w:rsidRDefault="00A65F34">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34" w:rsidRDefault="00A65F34">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933"/>
    <w:multiLevelType w:val="hybridMultilevel"/>
    <w:tmpl w:val="E306D880"/>
    <w:lvl w:ilvl="0" w:tplc="62189BF0">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516497F"/>
    <w:multiLevelType w:val="hybridMultilevel"/>
    <w:tmpl w:val="824639BA"/>
    <w:lvl w:ilvl="0" w:tplc="1C090019">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07946A59"/>
    <w:multiLevelType w:val="hybridMultilevel"/>
    <w:tmpl w:val="E0A0ED7C"/>
    <w:lvl w:ilvl="0" w:tplc="3D542F2A">
      <w:start w:val="1"/>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3">
    <w:nsid w:val="07EE61E5"/>
    <w:multiLevelType w:val="hybridMultilevel"/>
    <w:tmpl w:val="C268828E"/>
    <w:lvl w:ilvl="0" w:tplc="1C090019">
      <w:start w:val="1"/>
      <w:numFmt w:val="lowerLetter"/>
      <w:lvlText w:val="%1."/>
      <w:lvlJc w:val="left"/>
      <w:pPr>
        <w:ind w:left="1778" w:hanging="360"/>
      </w:pPr>
      <w:rPr>
        <w:rFonts w:cs="Times New Roman"/>
      </w:rPr>
    </w:lvl>
    <w:lvl w:ilvl="1" w:tplc="1C090019" w:tentative="1">
      <w:start w:val="1"/>
      <w:numFmt w:val="lowerLetter"/>
      <w:lvlText w:val="%2."/>
      <w:lvlJc w:val="left"/>
      <w:pPr>
        <w:ind w:left="2498" w:hanging="360"/>
      </w:pPr>
      <w:rPr>
        <w:rFonts w:cs="Times New Roman"/>
      </w:rPr>
    </w:lvl>
    <w:lvl w:ilvl="2" w:tplc="1C09001B" w:tentative="1">
      <w:start w:val="1"/>
      <w:numFmt w:val="lowerRoman"/>
      <w:lvlText w:val="%3."/>
      <w:lvlJc w:val="right"/>
      <w:pPr>
        <w:ind w:left="3218" w:hanging="180"/>
      </w:pPr>
      <w:rPr>
        <w:rFonts w:cs="Times New Roman"/>
      </w:rPr>
    </w:lvl>
    <w:lvl w:ilvl="3" w:tplc="1C09000F" w:tentative="1">
      <w:start w:val="1"/>
      <w:numFmt w:val="decimal"/>
      <w:lvlText w:val="%4."/>
      <w:lvlJc w:val="left"/>
      <w:pPr>
        <w:ind w:left="3938" w:hanging="360"/>
      </w:pPr>
      <w:rPr>
        <w:rFonts w:cs="Times New Roman"/>
      </w:rPr>
    </w:lvl>
    <w:lvl w:ilvl="4" w:tplc="1C090019" w:tentative="1">
      <w:start w:val="1"/>
      <w:numFmt w:val="lowerLetter"/>
      <w:lvlText w:val="%5."/>
      <w:lvlJc w:val="left"/>
      <w:pPr>
        <w:ind w:left="4658" w:hanging="360"/>
      </w:pPr>
      <w:rPr>
        <w:rFonts w:cs="Times New Roman"/>
      </w:rPr>
    </w:lvl>
    <w:lvl w:ilvl="5" w:tplc="1C09001B" w:tentative="1">
      <w:start w:val="1"/>
      <w:numFmt w:val="lowerRoman"/>
      <w:lvlText w:val="%6."/>
      <w:lvlJc w:val="right"/>
      <w:pPr>
        <w:ind w:left="5378" w:hanging="180"/>
      </w:pPr>
      <w:rPr>
        <w:rFonts w:cs="Times New Roman"/>
      </w:rPr>
    </w:lvl>
    <w:lvl w:ilvl="6" w:tplc="1C09000F" w:tentative="1">
      <w:start w:val="1"/>
      <w:numFmt w:val="decimal"/>
      <w:lvlText w:val="%7."/>
      <w:lvlJc w:val="left"/>
      <w:pPr>
        <w:ind w:left="6098" w:hanging="360"/>
      </w:pPr>
      <w:rPr>
        <w:rFonts w:cs="Times New Roman"/>
      </w:rPr>
    </w:lvl>
    <w:lvl w:ilvl="7" w:tplc="1C090019" w:tentative="1">
      <w:start w:val="1"/>
      <w:numFmt w:val="lowerLetter"/>
      <w:lvlText w:val="%8."/>
      <w:lvlJc w:val="left"/>
      <w:pPr>
        <w:ind w:left="6818" w:hanging="360"/>
      </w:pPr>
      <w:rPr>
        <w:rFonts w:cs="Times New Roman"/>
      </w:rPr>
    </w:lvl>
    <w:lvl w:ilvl="8" w:tplc="1C09001B" w:tentative="1">
      <w:start w:val="1"/>
      <w:numFmt w:val="lowerRoman"/>
      <w:lvlText w:val="%9."/>
      <w:lvlJc w:val="right"/>
      <w:pPr>
        <w:ind w:left="7538" w:hanging="180"/>
      </w:pPr>
      <w:rPr>
        <w:rFonts w:cs="Times New Roman"/>
      </w:rPr>
    </w:lvl>
  </w:abstractNum>
  <w:abstractNum w:abstractNumId="4">
    <w:nsid w:val="080B38CC"/>
    <w:multiLevelType w:val="hybridMultilevel"/>
    <w:tmpl w:val="595EC20E"/>
    <w:lvl w:ilvl="0" w:tplc="1C090019">
      <w:start w:val="1"/>
      <w:numFmt w:val="lowerLetter"/>
      <w:lvlText w:val="%1."/>
      <w:lvlJc w:val="left"/>
      <w:pPr>
        <w:ind w:left="1636" w:hanging="360"/>
      </w:pPr>
      <w:rPr>
        <w:rFonts w:cs="Times New Roman"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nsid w:val="0DD4391D"/>
    <w:multiLevelType w:val="hybridMultilevel"/>
    <w:tmpl w:val="96F25632"/>
    <w:lvl w:ilvl="0" w:tplc="1C090019">
      <w:start w:val="1"/>
      <w:numFmt w:val="lowerLetter"/>
      <w:lvlText w:val="%1."/>
      <w:lvlJc w:val="left"/>
      <w:pPr>
        <w:ind w:left="1778" w:hanging="360"/>
      </w:pPr>
      <w:rPr>
        <w:rFonts w:cs="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137E7BC4"/>
    <w:multiLevelType w:val="hybridMultilevel"/>
    <w:tmpl w:val="CE60C186"/>
    <w:lvl w:ilvl="0" w:tplc="1C09001B">
      <w:start w:val="1"/>
      <w:numFmt w:val="lowerRoman"/>
      <w:lvlText w:val="%1."/>
      <w:lvlJc w:val="right"/>
      <w:pPr>
        <w:ind w:left="2356" w:hanging="360"/>
      </w:pPr>
      <w:rPr>
        <w:rFonts w:cs="Times New Roman" w:hint="default"/>
      </w:rPr>
    </w:lvl>
    <w:lvl w:ilvl="1" w:tplc="04090003" w:tentative="1">
      <w:start w:val="1"/>
      <w:numFmt w:val="bullet"/>
      <w:lvlText w:val="o"/>
      <w:lvlJc w:val="left"/>
      <w:pPr>
        <w:ind w:left="3076" w:hanging="360"/>
      </w:pPr>
      <w:rPr>
        <w:rFonts w:ascii="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nsid w:val="31B51DA4"/>
    <w:multiLevelType w:val="hybridMultilevel"/>
    <w:tmpl w:val="B59A5532"/>
    <w:lvl w:ilvl="0" w:tplc="1C090019">
      <w:start w:val="1"/>
      <w:numFmt w:val="lowerLetter"/>
      <w:lvlText w:val="%1."/>
      <w:lvlJc w:val="left"/>
      <w:pPr>
        <w:ind w:left="1996" w:hanging="360"/>
      </w:pPr>
      <w:rPr>
        <w:rFonts w:cs="Times New Roman"/>
      </w:rPr>
    </w:lvl>
    <w:lvl w:ilvl="1" w:tplc="1C090019" w:tentative="1">
      <w:start w:val="1"/>
      <w:numFmt w:val="lowerLetter"/>
      <w:lvlText w:val="%2."/>
      <w:lvlJc w:val="left"/>
      <w:pPr>
        <w:ind w:left="2716" w:hanging="360"/>
      </w:pPr>
      <w:rPr>
        <w:rFonts w:cs="Times New Roman"/>
      </w:rPr>
    </w:lvl>
    <w:lvl w:ilvl="2" w:tplc="1C09001B" w:tentative="1">
      <w:start w:val="1"/>
      <w:numFmt w:val="lowerRoman"/>
      <w:lvlText w:val="%3."/>
      <w:lvlJc w:val="right"/>
      <w:pPr>
        <w:ind w:left="3436" w:hanging="180"/>
      </w:pPr>
      <w:rPr>
        <w:rFonts w:cs="Times New Roman"/>
      </w:rPr>
    </w:lvl>
    <w:lvl w:ilvl="3" w:tplc="1C09000F" w:tentative="1">
      <w:start w:val="1"/>
      <w:numFmt w:val="decimal"/>
      <w:lvlText w:val="%4."/>
      <w:lvlJc w:val="left"/>
      <w:pPr>
        <w:ind w:left="4156" w:hanging="360"/>
      </w:pPr>
      <w:rPr>
        <w:rFonts w:cs="Times New Roman"/>
      </w:rPr>
    </w:lvl>
    <w:lvl w:ilvl="4" w:tplc="1C090019" w:tentative="1">
      <w:start w:val="1"/>
      <w:numFmt w:val="lowerLetter"/>
      <w:lvlText w:val="%5."/>
      <w:lvlJc w:val="left"/>
      <w:pPr>
        <w:ind w:left="4876" w:hanging="360"/>
      </w:pPr>
      <w:rPr>
        <w:rFonts w:cs="Times New Roman"/>
      </w:rPr>
    </w:lvl>
    <w:lvl w:ilvl="5" w:tplc="1C09001B" w:tentative="1">
      <w:start w:val="1"/>
      <w:numFmt w:val="lowerRoman"/>
      <w:lvlText w:val="%6."/>
      <w:lvlJc w:val="right"/>
      <w:pPr>
        <w:ind w:left="5596" w:hanging="180"/>
      </w:pPr>
      <w:rPr>
        <w:rFonts w:cs="Times New Roman"/>
      </w:rPr>
    </w:lvl>
    <w:lvl w:ilvl="6" w:tplc="1C09000F" w:tentative="1">
      <w:start w:val="1"/>
      <w:numFmt w:val="decimal"/>
      <w:lvlText w:val="%7."/>
      <w:lvlJc w:val="left"/>
      <w:pPr>
        <w:ind w:left="6316" w:hanging="360"/>
      </w:pPr>
      <w:rPr>
        <w:rFonts w:cs="Times New Roman"/>
      </w:rPr>
    </w:lvl>
    <w:lvl w:ilvl="7" w:tplc="1C090019" w:tentative="1">
      <w:start w:val="1"/>
      <w:numFmt w:val="lowerLetter"/>
      <w:lvlText w:val="%8."/>
      <w:lvlJc w:val="left"/>
      <w:pPr>
        <w:ind w:left="7036" w:hanging="360"/>
      </w:pPr>
      <w:rPr>
        <w:rFonts w:cs="Times New Roman"/>
      </w:rPr>
    </w:lvl>
    <w:lvl w:ilvl="8" w:tplc="1C09001B" w:tentative="1">
      <w:start w:val="1"/>
      <w:numFmt w:val="lowerRoman"/>
      <w:lvlText w:val="%9."/>
      <w:lvlJc w:val="right"/>
      <w:pPr>
        <w:ind w:left="7756" w:hanging="180"/>
      </w:pPr>
      <w:rPr>
        <w:rFonts w:cs="Times New Roman"/>
      </w:rPr>
    </w:lvl>
  </w:abstractNum>
  <w:abstractNum w:abstractNumId="8">
    <w:nsid w:val="33323D68"/>
    <w:multiLevelType w:val="hybridMultilevel"/>
    <w:tmpl w:val="F9FE3B50"/>
    <w:lvl w:ilvl="0" w:tplc="1C09001B">
      <w:start w:val="1"/>
      <w:numFmt w:val="lowerRoman"/>
      <w:lvlText w:val="%1."/>
      <w:lvlJc w:val="right"/>
      <w:pPr>
        <w:ind w:left="2520" w:hanging="360"/>
      </w:pPr>
      <w:rPr>
        <w:rFont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3D0753F"/>
    <w:multiLevelType w:val="hybridMultilevel"/>
    <w:tmpl w:val="72FED962"/>
    <w:lvl w:ilvl="0" w:tplc="1C09001B">
      <w:start w:val="1"/>
      <w:numFmt w:val="lowerRoman"/>
      <w:lvlText w:val="%1."/>
      <w:lvlJc w:val="right"/>
      <w:pPr>
        <w:ind w:left="1636" w:hanging="360"/>
      </w:pPr>
      <w:rPr>
        <w:rFonts w:cs="Times New Roman"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4"/>
  </w:num>
  <w:num w:numId="6">
    <w:abstractNumId w:val="5"/>
  </w:num>
  <w:num w:numId="7">
    <w:abstractNumId w:val="1"/>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1427"/>
    <w:rsid w:val="00011565"/>
    <w:rsid w:val="00012480"/>
    <w:rsid w:val="000128E4"/>
    <w:rsid w:val="00012E99"/>
    <w:rsid w:val="00015781"/>
    <w:rsid w:val="00015A7C"/>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2479"/>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2590"/>
    <w:rsid w:val="00132B8A"/>
    <w:rsid w:val="00133EE8"/>
    <w:rsid w:val="00134A87"/>
    <w:rsid w:val="001354BF"/>
    <w:rsid w:val="00140510"/>
    <w:rsid w:val="001437F4"/>
    <w:rsid w:val="00143B7A"/>
    <w:rsid w:val="00144867"/>
    <w:rsid w:val="001451EE"/>
    <w:rsid w:val="00145AFD"/>
    <w:rsid w:val="00145F4E"/>
    <w:rsid w:val="0014642D"/>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0D8"/>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4184"/>
    <w:rsid w:val="001A4B47"/>
    <w:rsid w:val="001A5957"/>
    <w:rsid w:val="001A5ED6"/>
    <w:rsid w:val="001A74ED"/>
    <w:rsid w:val="001A78BA"/>
    <w:rsid w:val="001A7F90"/>
    <w:rsid w:val="001B2485"/>
    <w:rsid w:val="001B269A"/>
    <w:rsid w:val="001B4646"/>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5084C"/>
    <w:rsid w:val="002508D0"/>
    <w:rsid w:val="00250F71"/>
    <w:rsid w:val="0025127C"/>
    <w:rsid w:val="0025131B"/>
    <w:rsid w:val="00251D7D"/>
    <w:rsid w:val="00251EE8"/>
    <w:rsid w:val="0025343B"/>
    <w:rsid w:val="00253975"/>
    <w:rsid w:val="002544A9"/>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66FA5"/>
    <w:rsid w:val="0027119D"/>
    <w:rsid w:val="00271AA6"/>
    <w:rsid w:val="00272411"/>
    <w:rsid w:val="002745D3"/>
    <w:rsid w:val="0027532F"/>
    <w:rsid w:val="002755A8"/>
    <w:rsid w:val="00275AC1"/>
    <w:rsid w:val="0027723E"/>
    <w:rsid w:val="002778AF"/>
    <w:rsid w:val="00277D9B"/>
    <w:rsid w:val="00280BB2"/>
    <w:rsid w:val="002830F3"/>
    <w:rsid w:val="002841B5"/>
    <w:rsid w:val="0028474D"/>
    <w:rsid w:val="002847A7"/>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4276"/>
    <w:rsid w:val="002D4E7A"/>
    <w:rsid w:val="002D5026"/>
    <w:rsid w:val="002D588C"/>
    <w:rsid w:val="002D5A02"/>
    <w:rsid w:val="002D60F7"/>
    <w:rsid w:val="002D6F1F"/>
    <w:rsid w:val="002D769F"/>
    <w:rsid w:val="002D7A8F"/>
    <w:rsid w:val="002D7EDB"/>
    <w:rsid w:val="002E03AB"/>
    <w:rsid w:val="002E1CDB"/>
    <w:rsid w:val="002E2213"/>
    <w:rsid w:val="002E2895"/>
    <w:rsid w:val="002E3715"/>
    <w:rsid w:val="002E3B2D"/>
    <w:rsid w:val="002E3EEF"/>
    <w:rsid w:val="002E4F7B"/>
    <w:rsid w:val="002E59B9"/>
    <w:rsid w:val="002E6B3E"/>
    <w:rsid w:val="002E6DE6"/>
    <w:rsid w:val="002E7FF0"/>
    <w:rsid w:val="002F147E"/>
    <w:rsid w:val="002F3511"/>
    <w:rsid w:val="002F5CCA"/>
    <w:rsid w:val="002F6B11"/>
    <w:rsid w:val="003007FE"/>
    <w:rsid w:val="0030097F"/>
    <w:rsid w:val="00301AE2"/>
    <w:rsid w:val="00302746"/>
    <w:rsid w:val="003037EF"/>
    <w:rsid w:val="00303C3F"/>
    <w:rsid w:val="00303FEC"/>
    <w:rsid w:val="00304663"/>
    <w:rsid w:val="0030546F"/>
    <w:rsid w:val="003065B3"/>
    <w:rsid w:val="00306815"/>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2494"/>
    <w:rsid w:val="00342936"/>
    <w:rsid w:val="00342F2B"/>
    <w:rsid w:val="003448C2"/>
    <w:rsid w:val="00344F50"/>
    <w:rsid w:val="0034597A"/>
    <w:rsid w:val="00345F28"/>
    <w:rsid w:val="00347374"/>
    <w:rsid w:val="0035035A"/>
    <w:rsid w:val="00350523"/>
    <w:rsid w:val="003511D1"/>
    <w:rsid w:val="0035120E"/>
    <w:rsid w:val="003523F8"/>
    <w:rsid w:val="00353FEF"/>
    <w:rsid w:val="00354448"/>
    <w:rsid w:val="00355909"/>
    <w:rsid w:val="00355BB3"/>
    <w:rsid w:val="0036062C"/>
    <w:rsid w:val="00361211"/>
    <w:rsid w:val="0036154F"/>
    <w:rsid w:val="003621C3"/>
    <w:rsid w:val="003627C9"/>
    <w:rsid w:val="003633F6"/>
    <w:rsid w:val="00363EAB"/>
    <w:rsid w:val="00364374"/>
    <w:rsid w:val="00364699"/>
    <w:rsid w:val="0036539C"/>
    <w:rsid w:val="003656AE"/>
    <w:rsid w:val="00365708"/>
    <w:rsid w:val="00366703"/>
    <w:rsid w:val="003667FF"/>
    <w:rsid w:val="00366BF6"/>
    <w:rsid w:val="00366E28"/>
    <w:rsid w:val="00366F35"/>
    <w:rsid w:val="0037011A"/>
    <w:rsid w:val="00370B5E"/>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515"/>
    <w:rsid w:val="003C5BDB"/>
    <w:rsid w:val="003C79AD"/>
    <w:rsid w:val="003C7AA3"/>
    <w:rsid w:val="003D00A0"/>
    <w:rsid w:val="003D0DCC"/>
    <w:rsid w:val="003D487C"/>
    <w:rsid w:val="003D589E"/>
    <w:rsid w:val="003D61D5"/>
    <w:rsid w:val="003D647B"/>
    <w:rsid w:val="003D6EFD"/>
    <w:rsid w:val="003D6F75"/>
    <w:rsid w:val="003D7C81"/>
    <w:rsid w:val="003E0241"/>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3F6F8B"/>
    <w:rsid w:val="0040000A"/>
    <w:rsid w:val="00400AC6"/>
    <w:rsid w:val="004016EC"/>
    <w:rsid w:val="00401EFF"/>
    <w:rsid w:val="00401F01"/>
    <w:rsid w:val="00401FC5"/>
    <w:rsid w:val="004038C6"/>
    <w:rsid w:val="00404D6B"/>
    <w:rsid w:val="00405A13"/>
    <w:rsid w:val="00405E85"/>
    <w:rsid w:val="0040633D"/>
    <w:rsid w:val="00406DBF"/>
    <w:rsid w:val="00407E07"/>
    <w:rsid w:val="00407F2E"/>
    <w:rsid w:val="00410450"/>
    <w:rsid w:val="00410954"/>
    <w:rsid w:val="00411369"/>
    <w:rsid w:val="00411E19"/>
    <w:rsid w:val="00417E05"/>
    <w:rsid w:val="00420C12"/>
    <w:rsid w:val="00420EA0"/>
    <w:rsid w:val="00421E26"/>
    <w:rsid w:val="00421F9B"/>
    <w:rsid w:val="004230A9"/>
    <w:rsid w:val="004235DC"/>
    <w:rsid w:val="00423B28"/>
    <w:rsid w:val="0042456B"/>
    <w:rsid w:val="004253F6"/>
    <w:rsid w:val="00427591"/>
    <w:rsid w:val="004303FD"/>
    <w:rsid w:val="004305FB"/>
    <w:rsid w:val="00430880"/>
    <w:rsid w:val="0043089A"/>
    <w:rsid w:val="004308D4"/>
    <w:rsid w:val="00430B78"/>
    <w:rsid w:val="00430B9F"/>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354A"/>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944"/>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653"/>
    <w:rsid w:val="00547657"/>
    <w:rsid w:val="00547F40"/>
    <w:rsid w:val="00550852"/>
    <w:rsid w:val="00550A77"/>
    <w:rsid w:val="0055195D"/>
    <w:rsid w:val="00551DCE"/>
    <w:rsid w:val="00552697"/>
    <w:rsid w:val="005543E5"/>
    <w:rsid w:val="005554A5"/>
    <w:rsid w:val="00555665"/>
    <w:rsid w:val="00555D7F"/>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666F"/>
    <w:rsid w:val="00596677"/>
    <w:rsid w:val="00596AF0"/>
    <w:rsid w:val="005977D1"/>
    <w:rsid w:val="005A0226"/>
    <w:rsid w:val="005A0753"/>
    <w:rsid w:val="005A1F73"/>
    <w:rsid w:val="005A21C8"/>
    <w:rsid w:val="005A3ED7"/>
    <w:rsid w:val="005A46F1"/>
    <w:rsid w:val="005A506E"/>
    <w:rsid w:val="005A6856"/>
    <w:rsid w:val="005A6D44"/>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F71"/>
    <w:rsid w:val="005E40BF"/>
    <w:rsid w:val="005E49C5"/>
    <w:rsid w:val="005E5E21"/>
    <w:rsid w:val="005E66C5"/>
    <w:rsid w:val="005E6C6D"/>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3CC9"/>
    <w:rsid w:val="00603CD4"/>
    <w:rsid w:val="00603D77"/>
    <w:rsid w:val="006041DB"/>
    <w:rsid w:val="006046A1"/>
    <w:rsid w:val="00604917"/>
    <w:rsid w:val="00605D80"/>
    <w:rsid w:val="00606355"/>
    <w:rsid w:val="00606868"/>
    <w:rsid w:val="00606973"/>
    <w:rsid w:val="00606B36"/>
    <w:rsid w:val="006076C1"/>
    <w:rsid w:val="00607C6F"/>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6F4B"/>
    <w:rsid w:val="006270B1"/>
    <w:rsid w:val="006270C2"/>
    <w:rsid w:val="0063004A"/>
    <w:rsid w:val="006301AC"/>
    <w:rsid w:val="00630EA4"/>
    <w:rsid w:val="006311B9"/>
    <w:rsid w:val="0063142D"/>
    <w:rsid w:val="0063199D"/>
    <w:rsid w:val="00631CD9"/>
    <w:rsid w:val="00632814"/>
    <w:rsid w:val="0063286C"/>
    <w:rsid w:val="00633977"/>
    <w:rsid w:val="006339D2"/>
    <w:rsid w:val="0063453E"/>
    <w:rsid w:val="00635208"/>
    <w:rsid w:val="00635777"/>
    <w:rsid w:val="00635A9F"/>
    <w:rsid w:val="00635AB3"/>
    <w:rsid w:val="00636936"/>
    <w:rsid w:val="00636AF3"/>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52CA0"/>
    <w:rsid w:val="006536EB"/>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2DA5"/>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D7F6D"/>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560E"/>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1400"/>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0C6"/>
    <w:rsid w:val="007E4189"/>
    <w:rsid w:val="007E46F5"/>
    <w:rsid w:val="007E4D71"/>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10276"/>
    <w:rsid w:val="00810485"/>
    <w:rsid w:val="008106D3"/>
    <w:rsid w:val="00811310"/>
    <w:rsid w:val="00811C3C"/>
    <w:rsid w:val="00812B9F"/>
    <w:rsid w:val="00813213"/>
    <w:rsid w:val="00813DA2"/>
    <w:rsid w:val="00814FB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022"/>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743E"/>
    <w:rsid w:val="008902C2"/>
    <w:rsid w:val="00890788"/>
    <w:rsid w:val="00890CB1"/>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62C"/>
    <w:rsid w:val="008C36AB"/>
    <w:rsid w:val="008C37FA"/>
    <w:rsid w:val="008C3895"/>
    <w:rsid w:val="008C38F6"/>
    <w:rsid w:val="008C5130"/>
    <w:rsid w:val="008C6137"/>
    <w:rsid w:val="008C6881"/>
    <w:rsid w:val="008C7F9E"/>
    <w:rsid w:val="008D1EA2"/>
    <w:rsid w:val="008D27DE"/>
    <w:rsid w:val="008D5BAE"/>
    <w:rsid w:val="008D6F12"/>
    <w:rsid w:val="008D711B"/>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BC0"/>
    <w:rsid w:val="008F59C5"/>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EE"/>
    <w:rsid w:val="0092693C"/>
    <w:rsid w:val="00926FCD"/>
    <w:rsid w:val="009277A0"/>
    <w:rsid w:val="0092787E"/>
    <w:rsid w:val="00927A4B"/>
    <w:rsid w:val="00930610"/>
    <w:rsid w:val="009309D2"/>
    <w:rsid w:val="00930BCA"/>
    <w:rsid w:val="00930EDA"/>
    <w:rsid w:val="00931644"/>
    <w:rsid w:val="00932511"/>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F"/>
    <w:rsid w:val="009644CC"/>
    <w:rsid w:val="0096476C"/>
    <w:rsid w:val="009649E6"/>
    <w:rsid w:val="0096505A"/>
    <w:rsid w:val="0096560D"/>
    <w:rsid w:val="00965769"/>
    <w:rsid w:val="00965BB3"/>
    <w:rsid w:val="00965ED2"/>
    <w:rsid w:val="00966541"/>
    <w:rsid w:val="00966558"/>
    <w:rsid w:val="00967741"/>
    <w:rsid w:val="00970544"/>
    <w:rsid w:val="00971C65"/>
    <w:rsid w:val="00971CFA"/>
    <w:rsid w:val="009725F3"/>
    <w:rsid w:val="00972C8C"/>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6E5"/>
    <w:rsid w:val="009A5F31"/>
    <w:rsid w:val="009A5F33"/>
    <w:rsid w:val="009A61D2"/>
    <w:rsid w:val="009A7141"/>
    <w:rsid w:val="009A751E"/>
    <w:rsid w:val="009A757D"/>
    <w:rsid w:val="009B009F"/>
    <w:rsid w:val="009B053A"/>
    <w:rsid w:val="009B1DD0"/>
    <w:rsid w:val="009B1FAE"/>
    <w:rsid w:val="009B2100"/>
    <w:rsid w:val="009B2973"/>
    <w:rsid w:val="009B31EC"/>
    <w:rsid w:val="009B400E"/>
    <w:rsid w:val="009B4B46"/>
    <w:rsid w:val="009B567F"/>
    <w:rsid w:val="009B5D4D"/>
    <w:rsid w:val="009B63A4"/>
    <w:rsid w:val="009B6500"/>
    <w:rsid w:val="009B770D"/>
    <w:rsid w:val="009B7EEE"/>
    <w:rsid w:val="009C1635"/>
    <w:rsid w:val="009C21CF"/>
    <w:rsid w:val="009C234D"/>
    <w:rsid w:val="009C2A00"/>
    <w:rsid w:val="009C2BC1"/>
    <w:rsid w:val="009C324B"/>
    <w:rsid w:val="009C4111"/>
    <w:rsid w:val="009C471B"/>
    <w:rsid w:val="009C4A6C"/>
    <w:rsid w:val="009C5149"/>
    <w:rsid w:val="009C5E13"/>
    <w:rsid w:val="009C66E3"/>
    <w:rsid w:val="009C6A24"/>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27D60"/>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F0"/>
    <w:rsid w:val="00A44BB2"/>
    <w:rsid w:val="00A45F8E"/>
    <w:rsid w:val="00A4693D"/>
    <w:rsid w:val="00A46D43"/>
    <w:rsid w:val="00A47157"/>
    <w:rsid w:val="00A47526"/>
    <w:rsid w:val="00A503B2"/>
    <w:rsid w:val="00A50C7E"/>
    <w:rsid w:val="00A50C88"/>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F8E"/>
    <w:rsid w:val="00A64468"/>
    <w:rsid w:val="00A64582"/>
    <w:rsid w:val="00A65843"/>
    <w:rsid w:val="00A65F34"/>
    <w:rsid w:val="00A66149"/>
    <w:rsid w:val="00A67008"/>
    <w:rsid w:val="00A67336"/>
    <w:rsid w:val="00A674C5"/>
    <w:rsid w:val="00A703AC"/>
    <w:rsid w:val="00A70693"/>
    <w:rsid w:val="00A722B9"/>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C03C8"/>
    <w:rsid w:val="00AC07A1"/>
    <w:rsid w:val="00AC095C"/>
    <w:rsid w:val="00AC15D1"/>
    <w:rsid w:val="00AC1B2F"/>
    <w:rsid w:val="00AC1B4D"/>
    <w:rsid w:val="00AC1DFD"/>
    <w:rsid w:val="00AC3167"/>
    <w:rsid w:val="00AC51C6"/>
    <w:rsid w:val="00AC5ED0"/>
    <w:rsid w:val="00AC690E"/>
    <w:rsid w:val="00AC70C2"/>
    <w:rsid w:val="00AC76E9"/>
    <w:rsid w:val="00AD05CA"/>
    <w:rsid w:val="00AD147F"/>
    <w:rsid w:val="00AD2D74"/>
    <w:rsid w:val="00AD37C4"/>
    <w:rsid w:val="00AD3B8C"/>
    <w:rsid w:val="00AD4798"/>
    <w:rsid w:val="00AD4DA6"/>
    <w:rsid w:val="00AD4E12"/>
    <w:rsid w:val="00AD57C2"/>
    <w:rsid w:val="00AD5C74"/>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774"/>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0A0"/>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6EC"/>
    <w:rsid w:val="00B32CC1"/>
    <w:rsid w:val="00B33814"/>
    <w:rsid w:val="00B339DD"/>
    <w:rsid w:val="00B33BDE"/>
    <w:rsid w:val="00B3461B"/>
    <w:rsid w:val="00B34A36"/>
    <w:rsid w:val="00B356EB"/>
    <w:rsid w:val="00B359EF"/>
    <w:rsid w:val="00B35FD7"/>
    <w:rsid w:val="00B3670D"/>
    <w:rsid w:val="00B374E1"/>
    <w:rsid w:val="00B37893"/>
    <w:rsid w:val="00B40D7F"/>
    <w:rsid w:val="00B4100F"/>
    <w:rsid w:val="00B418D9"/>
    <w:rsid w:val="00B41923"/>
    <w:rsid w:val="00B42086"/>
    <w:rsid w:val="00B423AE"/>
    <w:rsid w:val="00B424B6"/>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A4F"/>
    <w:rsid w:val="00B77901"/>
    <w:rsid w:val="00B7793D"/>
    <w:rsid w:val="00B77C3A"/>
    <w:rsid w:val="00B77F76"/>
    <w:rsid w:val="00B80382"/>
    <w:rsid w:val="00B80386"/>
    <w:rsid w:val="00B82C08"/>
    <w:rsid w:val="00B82CDC"/>
    <w:rsid w:val="00B830FE"/>
    <w:rsid w:val="00B8557B"/>
    <w:rsid w:val="00B8617C"/>
    <w:rsid w:val="00B87007"/>
    <w:rsid w:val="00B906C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907"/>
    <w:rsid w:val="00BA7592"/>
    <w:rsid w:val="00BB0A27"/>
    <w:rsid w:val="00BB0BF8"/>
    <w:rsid w:val="00BB0ECA"/>
    <w:rsid w:val="00BB11EB"/>
    <w:rsid w:val="00BB12B2"/>
    <w:rsid w:val="00BB155F"/>
    <w:rsid w:val="00BB23D0"/>
    <w:rsid w:val="00BB370D"/>
    <w:rsid w:val="00BB4090"/>
    <w:rsid w:val="00BB434F"/>
    <w:rsid w:val="00BB4897"/>
    <w:rsid w:val="00BB7EA8"/>
    <w:rsid w:val="00BC0524"/>
    <w:rsid w:val="00BC0E7D"/>
    <w:rsid w:val="00BC17A1"/>
    <w:rsid w:val="00BC1904"/>
    <w:rsid w:val="00BC19CE"/>
    <w:rsid w:val="00BC1B17"/>
    <w:rsid w:val="00BC2DF6"/>
    <w:rsid w:val="00BC2DF9"/>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95"/>
    <w:rsid w:val="00C0766B"/>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A76"/>
    <w:rsid w:val="00C15E59"/>
    <w:rsid w:val="00C16954"/>
    <w:rsid w:val="00C1738F"/>
    <w:rsid w:val="00C173FA"/>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27B5D"/>
    <w:rsid w:val="00C30937"/>
    <w:rsid w:val="00C31862"/>
    <w:rsid w:val="00C31AF0"/>
    <w:rsid w:val="00C3520B"/>
    <w:rsid w:val="00C3547A"/>
    <w:rsid w:val="00C35567"/>
    <w:rsid w:val="00C36EF9"/>
    <w:rsid w:val="00C3709F"/>
    <w:rsid w:val="00C37A1C"/>
    <w:rsid w:val="00C37CE3"/>
    <w:rsid w:val="00C41F43"/>
    <w:rsid w:val="00C4260F"/>
    <w:rsid w:val="00C4264B"/>
    <w:rsid w:val="00C4338E"/>
    <w:rsid w:val="00C44C3F"/>
    <w:rsid w:val="00C45195"/>
    <w:rsid w:val="00C46859"/>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82B98"/>
    <w:rsid w:val="00C83378"/>
    <w:rsid w:val="00C83600"/>
    <w:rsid w:val="00C83AFF"/>
    <w:rsid w:val="00C84D13"/>
    <w:rsid w:val="00C85D9E"/>
    <w:rsid w:val="00C87A04"/>
    <w:rsid w:val="00C90C2A"/>
    <w:rsid w:val="00C90FB3"/>
    <w:rsid w:val="00C91E0D"/>
    <w:rsid w:val="00C9245C"/>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7DC1"/>
    <w:rsid w:val="00D104DB"/>
    <w:rsid w:val="00D1137D"/>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4B40"/>
    <w:rsid w:val="00DA6731"/>
    <w:rsid w:val="00DA71E8"/>
    <w:rsid w:val="00DA7474"/>
    <w:rsid w:val="00DA7502"/>
    <w:rsid w:val="00DB0AB8"/>
    <w:rsid w:val="00DB1690"/>
    <w:rsid w:val="00DB30FA"/>
    <w:rsid w:val="00DB3B37"/>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1792"/>
    <w:rsid w:val="00DE2189"/>
    <w:rsid w:val="00DE2459"/>
    <w:rsid w:val="00DE499A"/>
    <w:rsid w:val="00DE5377"/>
    <w:rsid w:val="00DE553C"/>
    <w:rsid w:val="00DE6C87"/>
    <w:rsid w:val="00DE7174"/>
    <w:rsid w:val="00DE7777"/>
    <w:rsid w:val="00DE7DE4"/>
    <w:rsid w:val="00DF0377"/>
    <w:rsid w:val="00DF0E6F"/>
    <w:rsid w:val="00DF11C5"/>
    <w:rsid w:val="00DF4340"/>
    <w:rsid w:val="00DF4978"/>
    <w:rsid w:val="00DF61E3"/>
    <w:rsid w:val="00DF65F6"/>
    <w:rsid w:val="00DF6BE9"/>
    <w:rsid w:val="00DF6EDF"/>
    <w:rsid w:val="00DF746C"/>
    <w:rsid w:val="00E018EC"/>
    <w:rsid w:val="00E01C8A"/>
    <w:rsid w:val="00E02418"/>
    <w:rsid w:val="00E027F6"/>
    <w:rsid w:val="00E02A4F"/>
    <w:rsid w:val="00E02F39"/>
    <w:rsid w:val="00E03786"/>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7B4"/>
    <w:rsid w:val="00E24EBE"/>
    <w:rsid w:val="00E2621A"/>
    <w:rsid w:val="00E26FFD"/>
    <w:rsid w:val="00E27035"/>
    <w:rsid w:val="00E2769F"/>
    <w:rsid w:val="00E277F4"/>
    <w:rsid w:val="00E305C7"/>
    <w:rsid w:val="00E310F5"/>
    <w:rsid w:val="00E312CF"/>
    <w:rsid w:val="00E321C2"/>
    <w:rsid w:val="00E337C3"/>
    <w:rsid w:val="00E338D1"/>
    <w:rsid w:val="00E351FD"/>
    <w:rsid w:val="00E366E1"/>
    <w:rsid w:val="00E36EE1"/>
    <w:rsid w:val="00E377F2"/>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FFB"/>
    <w:rsid w:val="00EA5271"/>
    <w:rsid w:val="00EA6869"/>
    <w:rsid w:val="00EA6C3D"/>
    <w:rsid w:val="00EA6F22"/>
    <w:rsid w:val="00EA7ED3"/>
    <w:rsid w:val="00EA7FA9"/>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50F5"/>
    <w:rsid w:val="00EE6B9C"/>
    <w:rsid w:val="00EF18F0"/>
    <w:rsid w:val="00EF321B"/>
    <w:rsid w:val="00EF5876"/>
    <w:rsid w:val="00EF590D"/>
    <w:rsid w:val="00EF5BBD"/>
    <w:rsid w:val="00EF742B"/>
    <w:rsid w:val="00EF7BCA"/>
    <w:rsid w:val="00F014AB"/>
    <w:rsid w:val="00F0150B"/>
    <w:rsid w:val="00F016A0"/>
    <w:rsid w:val="00F028FF"/>
    <w:rsid w:val="00F030CB"/>
    <w:rsid w:val="00F03480"/>
    <w:rsid w:val="00F03616"/>
    <w:rsid w:val="00F03AAA"/>
    <w:rsid w:val="00F04220"/>
    <w:rsid w:val="00F048B4"/>
    <w:rsid w:val="00F04F87"/>
    <w:rsid w:val="00F0516B"/>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039F"/>
    <w:rsid w:val="00FB139A"/>
    <w:rsid w:val="00FB157F"/>
    <w:rsid w:val="00FB1776"/>
    <w:rsid w:val="00FB24A4"/>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rPr>
      <w:rFonts w:ascii="Arial" w:eastAsia="Times New Roman" w:hAnsi="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locked/>
    <w:rsid w:val="007E334E"/>
    <w:rPr>
      <w:rFonts w:ascii="Arial" w:hAnsi="Arial" w:cs="Times New Roman"/>
      <w:b/>
      <w:sz w:val="20"/>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locked/>
    <w:rsid w:val="007E334E"/>
    <w:rPr>
      <w:rFonts w:ascii="Arial" w:hAnsi="Arial" w:cs="Times New Roman"/>
      <w:sz w:val="20"/>
      <w:szCs w:val="20"/>
      <w:lang w:val="en-GB" w:eastAsia="en-GB"/>
    </w:rPr>
  </w:style>
  <w:style w:type="paragraph" w:styleId="ListParagraph">
    <w:name w:val="List Paragraph"/>
    <w:basedOn w:val="Normal"/>
    <w:uiPriority w:val="99"/>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basedOn w:val="DefaultParagraphFont"/>
    <w:uiPriority w:val="99"/>
    <w:qFormat/>
    <w:rsid w:val="007E334E"/>
    <w:rPr>
      <w:rFonts w:cs="Times New Roman"/>
      <w:b/>
    </w:rPr>
  </w:style>
  <w:style w:type="paragraph" w:styleId="Footer">
    <w:name w:val="footer"/>
    <w:basedOn w:val="Normal"/>
    <w:link w:val="FooterChar"/>
    <w:uiPriority w:val="99"/>
    <w:rsid w:val="007E334E"/>
    <w:pPr>
      <w:tabs>
        <w:tab w:val="center" w:pos="4513"/>
        <w:tab w:val="right" w:pos="9026"/>
      </w:tabs>
    </w:pPr>
  </w:style>
  <w:style w:type="character" w:customStyle="1" w:styleId="FooterChar">
    <w:name w:val="Footer Char"/>
    <w:basedOn w:val="DefaultParagraphFont"/>
    <w:link w:val="Footer"/>
    <w:uiPriority w:val="99"/>
    <w:locked/>
    <w:rsid w:val="007E334E"/>
    <w:rPr>
      <w:rFonts w:ascii="Arial" w:hAnsi="Arial" w:cs="Times New Roman"/>
      <w:color w:val="000000"/>
      <w:sz w:val="20"/>
      <w:szCs w:val="20"/>
      <w:lang w:val="en-US" w:eastAsia="en-GB"/>
    </w:rPr>
  </w:style>
  <w:style w:type="table" w:styleId="TableGrid">
    <w:name w:val="Table Grid"/>
    <w:basedOn w:val="TableNormal"/>
    <w:uiPriority w:val="99"/>
    <w:rsid w:val="007E33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34E"/>
    <w:rPr>
      <w:rFonts w:ascii="Tahoma" w:hAnsi="Tahoma" w:cs="Tahoma"/>
      <w:color w:val="000000"/>
      <w:sz w:val="16"/>
      <w:szCs w:val="16"/>
      <w:lang w:val="en-US" w:eastAsia="en-GB"/>
    </w:rPr>
  </w:style>
  <w:style w:type="paragraph" w:styleId="Header">
    <w:name w:val="header"/>
    <w:basedOn w:val="Normal"/>
    <w:link w:val="HeaderChar"/>
    <w:uiPriority w:val="99"/>
    <w:rsid w:val="001A5ED6"/>
    <w:pPr>
      <w:tabs>
        <w:tab w:val="center" w:pos="4513"/>
        <w:tab w:val="right" w:pos="9026"/>
      </w:tabs>
    </w:pPr>
  </w:style>
  <w:style w:type="character" w:customStyle="1" w:styleId="HeaderChar">
    <w:name w:val="Header Char"/>
    <w:basedOn w:val="DefaultParagraphFont"/>
    <w:link w:val="Header"/>
    <w:uiPriority w:val="99"/>
    <w:locked/>
    <w:rsid w:val="001A5ED6"/>
    <w:rPr>
      <w:rFonts w:ascii="Arial" w:hAnsi="Arial" w:cs="Times New Roman"/>
      <w:color w:val="000000"/>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571698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Company>Microsoft</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PUMZA</cp:lastModifiedBy>
  <cp:revision>2</cp:revision>
  <cp:lastPrinted>2015-11-18T11:09:00Z</cp:lastPrinted>
  <dcterms:created xsi:type="dcterms:W3CDTF">2015-11-30T11:38:00Z</dcterms:created>
  <dcterms:modified xsi:type="dcterms:W3CDTF">2015-11-30T11:38:00Z</dcterms:modified>
</cp:coreProperties>
</file>