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rsidP="00A915F5">
      <w:pPr>
        <w:pStyle w:val="Heading1"/>
        <w:tabs>
          <w:tab w:val="left" w:pos="1418"/>
        </w:tabs>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32F5">
        <w:rPr>
          <w:b/>
          <w:bCs/>
          <w:sz w:val="24"/>
          <w:u w:val="single"/>
        </w:rPr>
        <w:t>3</w:t>
      </w:r>
      <w:r w:rsidR="003E3476">
        <w:rPr>
          <w:b/>
          <w:bCs/>
          <w:sz w:val="24"/>
          <w:u w:val="single"/>
        </w:rPr>
        <w:t>903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D5BC7">
        <w:rPr>
          <w:b/>
          <w:bCs/>
          <w:sz w:val="24"/>
          <w:u w:val="single"/>
        </w:rPr>
        <w:t>06 DECE</w:t>
      </w:r>
      <w:r w:rsidR="00561AFB">
        <w:rPr>
          <w:b/>
          <w:bCs/>
          <w:sz w:val="24"/>
          <w:u w:val="single"/>
        </w:rPr>
        <w:t>MBER</w:t>
      </w:r>
      <w:r w:rsidR="00AB2486">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51426F">
        <w:rPr>
          <w:b/>
          <w:bCs/>
          <w:sz w:val="24"/>
          <w:u w:val="single"/>
        </w:rPr>
        <w:t>4</w:t>
      </w:r>
      <w:r w:rsidR="005D5BC7">
        <w:rPr>
          <w:b/>
          <w:bCs/>
          <w:sz w:val="24"/>
          <w:u w:val="single"/>
        </w:rPr>
        <w:t>5</w:t>
      </w:r>
      <w:r w:rsidRPr="00294557">
        <w:rPr>
          <w:b/>
          <w:bCs/>
          <w:sz w:val="24"/>
          <w:u w:val="single"/>
        </w:rPr>
        <w:t>)</w:t>
      </w:r>
    </w:p>
    <w:p w:rsidR="003E3476" w:rsidRPr="003E3476" w:rsidRDefault="003E3476" w:rsidP="003E3476">
      <w:pPr>
        <w:spacing w:before="100" w:beforeAutospacing="1" w:after="100" w:afterAutospacing="1"/>
        <w:ind w:left="851" w:hanging="851"/>
        <w:rPr>
          <w:b/>
          <w:bCs/>
          <w:sz w:val="24"/>
          <w:u w:val="single"/>
        </w:rPr>
      </w:pPr>
      <w:r w:rsidRPr="003E3476">
        <w:rPr>
          <w:b/>
          <w:bCs/>
          <w:sz w:val="24"/>
          <w:u w:val="single"/>
        </w:rPr>
        <w:t xml:space="preserve">Mr M </w:t>
      </w:r>
      <w:r w:rsidRPr="003E3476">
        <w:rPr>
          <w:b/>
          <w:sz w:val="24"/>
          <w:u w:val="single"/>
        </w:rPr>
        <w:t>Tshwaku</w:t>
      </w:r>
      <w:r w:rsidRPr="003E3476">
        <w:rPr>
          <w:b/>
          <w:bCs/>
          <w:sz w:val="24"/>
          <w:u w:val="single"/>
        </w:rPr>
        <w:t xml:space="preserve"> (EFF) to ask the Minister of Health:</w:t>
      </w:r>
    </w:p>
    <w:p w:rsidR="00D64DD4" w:rsidRPr="003E3476" w:rsidRDefault="003E3476" w:rsidP="003E3476">
      <w:pPr>
        <w:spacing w:before="100" w:beforeAutospacing="1" w:after="100" w:afterAutospacing="1"/>
        <w:jc w:val="both"/>
        <w:rPr>
          <w:sz w:val="20"/>
          <w:szCs w:val="20"/>
        </w:rPr>
      </w:pPr>
      <w:r w:rsidRPr="003E3476">
        <w:rPr>
          <w:sz w:val="24"/>
        </w:rPr>
        <w:t xml:space="preserve">Whether, with reference to the reply of the Minister of Public Service and Administration to question 141 for oral reply on 7 September 2018, </w:t>
      </w:r>
      <w:r w:rsidRPr="003E3476">
        <w:rPr>
          <w:bCs/>
          <w:sz w:val="24"/>
        </w:rPr>
        <w:t>his department and the entities reporting to him implemented the Public Service Coordinating Bargaining Council resolution that all persons employed in the Public Service as Assistant Directors must have their salary level upgraded from level 9 to level 10, and that all Deputy Directors must have their salary level upgraded from level 11 to level 12; if not, why not; if so, what are the relevant details?</w:t>
      </w:r>
    </w:p>
    <w:p w:rsidR="00E238C2" w:rsidRPr="00D64DD4" w:rsidRDefault="007E6896" w:rsidP="00D64DD4">
      <w:pPr>
        <w:spacing w:before="100" w:beforeAutospacing="1" w:after="100" w:afterAutospacing="1"/>
        <w:jc w:val="right"/>
        <w:outlineLvl w:val="0"/>
        <w:rPr>
          <w:b/>
          <w:sz w:val="12"/>
          <w:szCs w:val="12"/>
        </w:rPr>
      </w:pPr>
      <w:r w:rsidRPr="00D64DD4">
        <w:rPr>
          <w:b/>
          <w:color w:val="000000"/>
          <w:sz w:val="12"/>
          <w:szCs w:val="12"/>
        </w:rPr>
        <w:t>N</w:t>
      </w:r>
      <w:r w:rsidR="001651E2" w:rsidRPr="00D64DD4">
        <w:rPr>
          <w:b/>
          <w:color w:val="000000"/>
          <w:sz w:val="12"/>
          <w:szCs w:val="12"/>
        </w:rPr>
        <w:t>W</w:t>
      </w:r>
      <w:r w:rsidR="005D5BC7">
        <w:rPr>
          <w:b/>
          <w:color w:val="000000"/>
          <w:sz w:val="12"/>
          <w:szCs w:val="12"/>
        </w:rPr>
        <w:t>4</w:t>
      </w:r>
      <w:r w:rsidR="00815591">
        <w:rPr>
          <w:b/>
          <w:color w:val="000000"/>
          <w:sz w:val="12"/>
          <w:szCs w:val="12"/>
        </w:rPr>
        <w:t>4</w:t>
      </w:r>
      <w:r w:rsidR="003E3476">
        <w:rPr>
          <w:b/>
          <w:color w:val="000000"/>
          <w:sz w:val="12"/>
          <w:szCs w:val="12"/>
        </w:rPr>
        <w:t>81</w:t>
      </w:r>
      <w:r w:rsidR="00590E40" w:rsidRPr="00D64DD4">
        <w:rPr>
          <w:b/>
          <w:color w:val="000000"/>
          <w:sz w:val="12"/>
          <w:szCs w:val="12"/>
        </w:rPr>
        <w:t>E</w:t>
      </w:r>
      <w:r w:rsidR="00E238C2" w:rsidRPr="00D64DD4">
        <w:rPr>
          <w:b/>
          <w:color w:val="000000"/>
          <w:sz w:val="12"/>
          <w:szCs w:val="12"/>
        </w:rPr>
        <w:t xml:space="preserve"> </w:t>
      </w:r>
    </w:p>
    <w:p w:rsidR="00836775" w:rsidRDefault="00E238C2" w:rsidP="008743D4">
      <w:pPr>
        <w:rPr>
          <w:b/>
          <w:bCs/>
          <w:sz w:val="24"/>
          <w:u w:val="single"/>
          <w:lang w:val="en-US"/>
        </w:rPr>
      </w:pPr>
      <w:r w:rsidRPr="0034705D">
        <w:rPr>
          <w:b/>
          <w:bCs/>
          <w:sz w:val="24"/>
          <w:u w:val="single"/>
          <w:lang w:val="en-US"/>
        </w:rPr>
        <w:t>REPLY:</w:t>
      </w:r>
    </w:p>
    <w:p w:rsidR="00D64DD4" w:rsidRPr="008743D4" w:rsidRDefault="00D64DD4" w:rsidP="008743D4">
      <w:pPr>
        <w:rPr>
          <w:b/>
          <w:bCs/>
          <w:sz w:val="24"/>
          <w:u w:val="single"/>
          <w:lang w:val="en-US"/>
        </w:rPr>
      </w:pPr>
    </w:p>
    <w:p w:rsidR="00882E65" w:rsidRDefault="00882E65" w:rsidP="00882E65">
      <w:pPr>
        <w:autoSpaceDE w:val="0"/>
        <w:autoSpaceDN w:val="0"/>
        <w:adjustRightInd w:val="0"/>
        <w:jc w:val="both"/>
        <w:rPr>
          <w:sz w:val="24"/>
        </w:rPr>
      </w:pPr>
      <w:r w:rsidRPr="00882E65">
        <w:rPr>
          <w:sz w:val="24"/>
        </w:rPr>
        <w:t>The National Department of Health implemented Resolution 1 of 2012 on 01 August 2012.  One hundred and twenty-four (124) Assistant Director posts were upgraded from salary level 9 to salary level 10 and ninety-seven (97) Deputy Director po</w:t>
      </w:r>
      <w:r>
        <w:rPr>
          <w:sz w:val="24"/>
        </w:rPr>
        <w:t>s</w:t>
      </w:r>
      <w:r w:rsidRPr="00882E65">
        <w:rPr>
          <w:sz w:val="24"/>
        </w:rPr>
        <w:t>ts were upgraded from salary level 11 to salary level 12.</w:t>
      </w:r>
    </w:p>
    <w:p w:rsidR="00882E65" w:rsidRDefault="00882E65" w:rsidP="00882E65">
      <w:pPr>
        <w:autoSpaceDE w:val="0"/>
        <w:autoSpaceDN w:val="0"/>
        <w:adjustRightInd w:val="0"/>
        <w:jc w:val="both"/>
        <w:rPr>
          <w:sz w:val="24"/>
        </w:rPr>
      </w:pPr>
    </w:p>
    <w:p w:rsidR="00882E65" w:rsidRDefault="00882E65" w:rsidP="00882E65">
      <w:pPr>
        <w:autoSpaceDE w:val="0"/>
        <w:autoSpaceDN w:val="0"/>
        <w:adjustRightInd w:val="0"/>
        <w:jc w:val="both"/>
        <w:rPr>
          <w:sz w:val="24"/>
        </w:rPr>
      </w:pPr>
      <w:r>
        <w:rPr>
          <w:sz w:val="24"/>
        </w:rPr>
        <w:t>With regards to the entities, the following table reflects the information in this regard:</w:t>
      </w:r>
    </w:p>
    <w:p w:rsidR="00882E65" w:rsidRDefault="00882E65" w:rsidP="00882E65">
      <w:pPr>
        <w:autoSpaceDE w:val="0"/>
        <w:autoSpaceDN w:val="0"/>
        <w:adjustRightInd w:val="0"/>
        <w:jc w:val="both"/>
        <w:rPr>
          <w:sz w:val="24"/>
        </w:rPr>
      </w:pPr>
    </w:p>
    <w:p w:rsidR="00882E65" w:rsidRPr="00882E65" w:rsidRDefault="00882E65" w:rsidP="00882E65">
      <w:pPr>
        <w:autoSpaceDE w:val="0"/>
        <w:autoSpaceDN w:val="0"/>
        <w:adjustRightInd w:val="0"/>
        <w:jc w:val="both"/>
        <w:rPr>
          <w:b/>
          <w:sz w:val="24"/>
        </w:rPr>
      </w:pPr>
      <w:r w:rsidRPr="00882E65">
        <w:rPr>
          <w:b/>
          <w:sz w:val="24"/>
        </w:rPr>
        <w:t>Table 1.</w:t>
      </w:r>
    </w:p>
    <w:p w:rsidR="00882E65" w:rsidRPr="00882E65" w:rsidRDefault="00882E65" w:rsidP="00882E65">
      <w:pPr>
        <w:autoSpaceDE w:val="0"/>
        <w:autoSpaceDN w:val="0"/>
        <w:adjustRightInd w:val="0"/>
        <w:jc w:val="both"/>
        <w:rPr>
          <w:sz w:val="24"/>
        </w:rPr>
      </w:pPr>
    </w:p>
    <w:tbl>
      <w:tblPr>
        <w:tblStyle w:val="TableGrid1"/>
        <w:tblW w:w="10260" w:type="dxa"/>
        <w:tblInd w:w="108" w:type="dxa"/>
        <w:tblLook w:val="04A0" w:firstRow="1" w:lastRow="0" w:firstColumn="1" w:lastColumn="0" w:noHBand="0" w:noVBand="1"/>
      </w:tblPr>
      <w:tblGrid>
        <w:gridCol w:w="3667"/>
        <w:gridCol w:w="6593"/>
      </w:tblGrid>
      <w:tr w:rsidR="00882E65" w:rsidRPr="00882E65" w:rsidTr="00882E65">
        <w:trPr>
          <w:trHeight w:val="467"/>
        </w:trPr>
        <w:tc>
          <w:tcPr>
            <w:tcW w:w="3667" w:type="dxa"/>
          </w:tcPr>
          <w:p w:rsidR="00882E65" w:rsidRPr="00882E65" w:rsidRDefault="00882E65" w:rsidP="00882E65">
            <w:pPr>
              <w:jc w:val="both"/>
              <w:rPr>
                <w:rFonts w:eastAsia="Calibri"/>
                <w:sz w:val="24"/>
              </w:rPr>
            </w:pPr>
            <w:r w:rsidRPr="00882E65">
              <w:rPr>
                <w:rFonts w:eastAsia="Calibri"/>
                <w:sz w:val="24"/>
              </w:rPr>
              <w:t>Office of Health Standards Compliance (OHSC)</w:t>
            </w:r>
          </w:p>
        </w:tc>
        <w:tc>
          <w:tcPr>
            <w:tcW w:w="6593" w:type="dxa"/>
          </w:tcPr>
          <w:p w:rsidR="00882E65" w:rsidRPr="00882E65" w:rsidRDefault="00882E65" w:rsidP="00882E65">
            <w:pPr>
              <w:jc w:val="both"/>
              <w:rPr>
                <w:sz w:val="24"/>
              </w:rPr>
            </w:pPr>
            <w:r w:rsidRPr="00882E65">
              <w:rPr>
                <w:sz w:val="24"/>
              </w:rPr>
              <w:t>All Assistant Directors and Deputy Directors within the OHSC are appointed on salary level 10 and 12 respectively.</w:t>
            </w:r>
          </w:p>
        </w:tc>
      </w:tr>
      <w:tr w:rsidR="00882E65" w:rsidRPr="00882E65" w:rsidTr="00882E65">
        <w:trPr>
          <w:trHeight w:val="177"/>
        </w:trPr>
        <w:tc>
          <w:tcPr>
            <w:tcW w:w="3667" w:type="dxa"/>
          </w:tcPr>
          <w:p w:rsidR="00882E65" w:rsidRPr="00882E65" w:rsidRDefault="00882E65" w:rsidP="00882E65">
            <w:pPr>
              <w:jc w:val="both"/>
              <w:rPr>
                <w:rFonts w:eastAsia="Calibri"/>
                <w:sz w:val="24"/>
              </w:rPr>
            </w:pPr>
            <w:r w:rsidRPr="00882E65">
              <w:rPr>
                <w:rFonts w:eastAsia="Calibri"/>
                <w:sz w:val="24"/>
              </w:rPr>
              <w:t>South African Health Products Regulatory Authority (SAHPRA)</w:t>
            </w:r>
          </w:p>
        </w:tc>
        <w:tc>
          <w:tcPr>
            <w:tcW w:w="6593" w:type="dxa"/>
          </w:tcPr>
          <w:p w:rsidR="00882E65" w:rsidRPr="00882E65" w:rsidRDefault="00882E65" w:rsidP="00882E65">
            <w:pPr>
              <w:jc w:val="both"/>
              <w:rPr>
                <w:sz w:val="24"/>
              </w:rPr>
            </w:pPr>
            <w:r w:rsidRPr="00882E65">
              <w:rPr>
                <w:sz w:val="24"/>
              </w:rPr>
              <w:t xml:space="preserve">Not Applicable – Covered under the National Department of Health’s response. </w:t>
            </w:r>
          </w:p>
        </w:tc>
      </w:tr>
      <w:tr w:rsidR="00882E65" w:rsidRPr="00882E65" w:rsidTr="00882E65">
        <w:trPr>
          <w:trHeight w:val="177"/>
        </w:trPr>
        <w:tc>
          <w:tcPr>
            <w:tcW w:w="3667" w:type="dxa"/>
          </w:tcPr>
          <w:p w:rsidR="00882E65" w:rsidRPr="00882E65" w:rsidRDefault="00882E65" w:rsidP="00882E65">
            <w:pPr>
              <w:jc w:val="both"/>
              <w:rPr>
                <w:rFonts w:eastAsia="Calibri"/>
                <w:sz w:val="24"/>
              </w:rPr>
            </w:pPr>
            <w:r w:rsidRPr="00882E65">
              <w:rPr>
                <w:rFonts w:eastAsia="Calibri"/>
                <w:sz w:val="24"/>
              </w:rPr>
              <w:t>National Health Laboratory Services (NHLS)</w:t>
            </w:r>
          </w:p>
        </w:tc>
        <w:tc>
          <w:tcPr>
            <w:tcW w:w="6593" w:type="dxa"/>
            <w:vMerge w:val="restart"/>
          </w:tcPr>
          <w:p w:rsidR="00882E65" w:rsidRPr="00882E65" w:rsidRDefault="00882E65" w:rsidP="00882E65">
            <w:pPr>
              <w:jc w:val="both"/>
              <w:rPr>
                <w:rFonts w:eastAsia="Calibri"/>
                <w:sz w:val="24"/>
              </w:rPr>
            </w:pPr>
            <w:r w:rsidRPr="00882E65">
              <w:rPr>
                <w:rFonts w:eastAsia="Calibri"/>
                <w:sz w:val="24"/>
              </w:rPr>
              <w:t>Not Applicable. The entities use the Patterson Grading System thus not affected by the Public Service Coordinating Bargaining Council resolution.</w:t>
            </w:r>
          </w:p>
        </w:tc>
      </w:tr>
      <w:tr w:rsidR="00882E65" w:rsidRPr="00882E65" w:rsidTr="00882E65">
        <w:trPr>
          <w:trHeight w:val="177"/>
        </w:trPr>
        <w:tc>
          <w:tcPr>
            <w:tcW w:w="3667" w:type="dxa"/>
          </w:tcPr>
          <w:p w:rsidR="00882E65" w:rsidRPr="00882E65" w:rsidRDefault="00882E65" w:rsidP="00882E65">
            <w:pPr>
              <w:jc w:val="both"/>
              <w:rPr>
                <w:rFonts w:eastAsia="Calibri"/>
                <w:sz w:val="24"/>
              </w:rPr>
            </w:pPr>
            <w:r w:rsidRPr="00882E65">
              <w:rPr>
                <w:rFonts w:eastAsia="Calibri"/>
                <w:sz w:val="24"/>
              </w:rPr>
              <w:t>South African Medical Research Council (SAMRC)</w:t>
            </w:r>
          </w:p>
        </w:tc>
        <w:tc>
          <w:tcPr>
            <w:tcW w:w="6593" w:type="dxa"/>
            <w:vMerge/>
          </w:tcPr>
          <w:p w:rsidR="00882E65" w:rsidRPr="00882E65" w:rsidRDefault="00882E65" w:rsidP="00882E65">
            <w:pPr>
              <w:jc w:val="both"/>
              <w:rPr>
                <w:sz w:val="24"/>
              </w:rPr>
            </w:pPr>
          </w:p>
        </w:tc>
      </w:tr>
      <w:tr w:rsidR="00882E65" w:rsidRPr="00882E65" w:rsidTr="00882E65">
        <w:trPr>
          <w:trHeight w:val="177"/>
        </w:trPr>
        <w:tc>
          <w:tcPr>
            <w:tcW w:w="3667" w:type="dxa"/>
          </w:tcPr>
          <w:p w:rsidR="00882E65" w:rsidRPr="00882E65" w:rsidRDefault="00882E65" w:rsidP="00882E65">
            <w:pPr>
              <w:jc w:val="both"/>
              <w:rPr>
                <w:sz w:val="24"/>
              </w:rPr>
            </w:pPr>
            <w:r w:rsidRPr="00882E65">
              <w:rPr>
                <w:sz w:val="24"/>
              </w:rPr>
              <w:t>Council For Medical Schemes (CMS)</w:t>
            </w:r>
          </w:p>
        </w:tc>
        <w:tc>
          <w:tcPr>
            <w:tcW w:w="6593" w:type="dxa"/>
            <w:vMerge/>
          </w:tcPr>
          <w:p w:rsidR="00882E65" w:rsidRPr="00882E65" w:rsidRDefault="00882E65" w:rsidP="00882E65">
            <w:pPr>
              <w:jc w:val="both"/>
              <w:rPr>
                <w:sz w:val="24"/>
              </w:rPr>
            </w:pPr>
          </w:p>
        </w:tc>
      </w:tr>
    </w:tbl>
    <w:p w:rsidR="00882E65" w:rsidRPr="00882E65" w:rsidRDefault="00882E65" w:rsidP="00882E65">
      <w:pPr>
        <w:autoSpaceDE w:val="0"/>
        <w:autoSpaceDN w:val="0"/>
        <w:adjustRightInd w:val="0"/>
        <w:jc w:val="both"/>
        <w:rPr>
          <w:b/>
          <w:sz w:val="24"/>
        </w:rPr>
      </w:pPr>
    </w:p>
    <w:p w:rsidR="00337AAF" w:rsidRDefault="00337AAF"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882E65">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456" w:rsidRDefault="003B5456">
      <w:r>
        <w:separator/>
      </w:r>
    </w:p>
  </w:endnote>
  <w:endnote w:type="continuationSeparator" w:id="0">
    <w:p w:rsidR="003B5456" w:rsidRDefault="003B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2B" w:rsidRDefault="00920E4B">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2B" w:rsidRDefault="00920E4B">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882E65">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456" w:rsidRDefault="003B5456">
      <w:r>
        <w:separator/>
      </w:r>
    </w:p>
  </w:footnote>
  <w:footnote w:type="continuationSeparator" w:id="0">
    <w:p w:rsidR="003B5456" w:rsidRDefault="003B5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D3D36"/>
    <w:multiLevelType w:val="hybridMultilevel"/>
    <w:tmpl w:val="A1165314"/>
    <w:lvl w:ilvl="0" w:tplc="9304807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E677218"/>
    <w:multiLevelType w:val="hybridMultilevel"/>
    <w:tmpl w:val="646AD114"/>
    <w:lvl w:ilvl="0" w:tplc="91088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59DD"/>
    <w:rsid w:val="000960D7"/>
    <w:rsid w:val="00096CD4"/>
    <w:rsid w:val="000A023C"/>
    <w:rsid w:val="000A115E"/>
    <w:rsid w:val="000A20B0"/>
    <w:rsid w:val="000A5C4B"/>
    <w:rsid w:val="000B120A"/>
    <w:rsid w:val="000B182C"/>
    <w:rsid w:val="000B1CBF"/>
    <w:rsid w:val="000B3983"/>
    <w:rsid w:val="000B4AB8"/>
    <w:rsid w:val="000C2EDD"/>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47A"/>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0221"/>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3E7D"/>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0B8A"/>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37AAF"/>
    <w:rsid w:val="0034035C"/>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56E2"/>
    <w:rsid w:val="00387A5F"/>
    <w:rsid w:val="0039184B"/>
    <w:rsid w:val="003A1B0E"/>
    <w:rsid w:val="003A72F5"/>
    <w:rsid w:val="003B0C88"/>
    <w:rsid w:val="003B5456"/>
    <w:rsid w:val="003C29E4"/>
    <w:rsid w:val="003C3FF7"/>
    <w:rsid w:val="003C68AC"/>
    <w:rsid w:val="003D5634"/>
    <w:rsid w:val="003D6B80"/>
    <w:rsid w:val="003E0AC8"/>
    <w:rsid w:val="003E3476"/>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0BB7"/>
    <w:rsid w:val="0047454A"/>
    <w:rsid w:val="004755C3"/>
    <w:rsid w:val="004759B3"/>
    <w:rsid w:val="0048302D"/>
    <w:rsid w:val="00483FEE"/>
    <w:rsid w:val="00486B69"/>
    <w:rsid w:val="00487E16"/>
    <w:rsid w:val="00490BF9"/>
    <w:rsid w:val="00495DDF"/>
    <w:rsid w:val="004967F1"/>
    <w:rsid w:val="004A26E8"/>
    <w:rsid w:val="004B1268"/>
    <w:rsid w:val="004B167D"/>
    <w:rsid w:val="004B3491"/>
    <w:rsid w:val="004B457B"/>
    <w:rsid w:val="004B740E"/>
    <w:rsid w:val="004C5286"/>
    <w:rsid w:val="004C5B1F"/>
    <w:rsid w:val="004C6A38"/>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26F"/>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1AFB"/>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5BC7"/>
    <w:rsid w:val="005D7A2A"/>
    <w:rsid w:val="005E1FBC"/>
    <w:rsid w:val="005E5D63"/>
    <w:rsid w:val="005E7BF6"/>
    <w:rsid w:val="005F373F"/>
    <w:rsid w:val="00602574"/>
    <w:rsid w:val="00610BC7"/>
    <w:rsid w:val="00616273"/>
    <w:rsid w:val="00616356"/>
    <w:rsid w:val="006175C7"/>
    <w:rsid w:val="00623C5C"/>
    <w:rsid w:val="00623E12"/>
    <w:rsid w:val="006356A5"/>
    <w:rsid w:val="00635745"/>
    <w:rsid w:val="00635890"/>
    <w:rsid w:val="00637291"/>
    <w:rsid w:val="0063794C"/>
    <w:rsid w:val="00646F50"/>
    <w:rsid w:val="00650785"/>
    <w:rsid w:val="00650D6E"/>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07FD"/>
    <w:rsid w:val="007048D7"/>
    <w:rsid w:val="007065E0"/>
    <w:rsid w:val="00713A4E"/>
    <w:rsid w:val="0071611E"/>
    <w:rsid w:val="0071681E"/>
    <w:rsid w:val="00721839"/>
    <w:rsid w:val="00724719"/>
    <w:rsid w:val="007260C3"/>
    <w:rsid w:val="0072738D"/>
    <w:rsid w:val="007277C0"/>
    <w:rsid w:val="0073094D"/>
    <w:rsid w:val="007320A9"/>
    <w:rsid w:val="00732FED"/>
    <w:rsid w:val="00735915"/>
    <w:rsid w:val="00740BE5"/>
    <w:rsid w:val="00742A24"/>
    <w:rsid w:val="00750265"/>
    <w:rsid w:val="0075372C"/>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229A"/>
    <w:rsid w:val="007E6493"/>
    <w:rsid w:val="007E6896"/>
    <w:rsid w:val="007F19E9"/>
    <w:rsid w:val="007F296D"/>
    <w:rsid w:val="007F4A81"/>
    <w:rsid w:val="007F547F"/>
    <w:rsid w:val="007F6D34"/>
    <w:rsid w:val="00802311"/>
    <w:rsid w:val="008027EE"/>
    <w:rsid w:val="008052D4"/>
    <w:rsid w:val="008067F9"/>
    <w:rsid w:val="00806BF2"/>
    <w:rsid w:val="0081272C"/>
    <w:rsid w:val="00815128"/>
    <w:rsid w:val="00815591"/>
    <w:rsid w:val="00815BE6"/>
    <w:rsid w:val="008165B7"/>
    <w:rsid w:val="00816881"/>
    <w:rsid w:val="00817CE9"/>
    <w:rsid w:val="00824313"/>
    <w:rsid w:val="00827A03"/>
    <w:rsid w:val="00836775"/>
    <w:rsid w:val="0084076E"/>
    <w:rsid w:val="00846CD4"/>
    <w:rsid w:val="00852234"/>
    <w:rsid w:val="008603CC"/>
    <w:rsid w:val="00860B56"/>
    <w:rsid w:val="0086637B"/>
    <w:rsid w:val="008743D4"/>
    <w:rsid w:val="00880CA3"/>
    <w:rsid w:val="00882E65"/>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0E4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64EC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2FD0"/>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537B"/>
    <w:rsid w:val="00A874BD"/>
    <w:rsid w:val="00A87CFA"/>
    <w:rsid w:val="00A87CFB"/>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AE74FB"/>
    <w:rsid w:val="00AF3556"/>
    <w:rsid w:val="00B03DDA"/>
    <w:rsid w:val="00B0703B"/>
    <w:rsid w:val="00B0762E"/>
    <w:rsid w:val="00B2423A"/>
    <w:rsid w:val="00B2718E"/>
    <w:rsid w:val="00B30D8D"/>
    <w:rsid w:val="00B33E9A"/>
    <w:rsid w:val="00B34C0F"/>
    <w:rsid w:val="00B353AB"/>
    <w:rsid w:val="00B3647A"/>
    <w:rsid w:val="00B37F60"/>
    <w:rsid w:val="00B4002F"/>
    <w:rsid w:val="00B41548"/>
    <w:rsid w:val="00B41F37"/>
    <w:rsid w:val="00B470EB"/>
    <w:rsid w:val="00B519E0"/>
    <w:rsid w:val="00B52A2E"/>
    <w:rsid w:val="00B561F9"/>
    <w:rsid w:val="00B60A4C"/>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A79A9"/>
    <w:rsid w:val="00BB0549"/>
    <w:rsid w:val="00BB0F9F"/>
    <w:rsid w:val="00BB485A"/>
    <w:rsid w:val="00BB4F25"/>
    <w:rsid w:val="00BB5A2A"/>
    <w:rsid w:val="00BB727B"/>
    <w:rsid w:val="00BC04F9"/>
    <w:rsid w:val="00BC4703"/>
    <w:rsid w:val="00BC6E9C"/>
    <w:rsid w:val="00BC7E1F"/>
    <w:rsid w:val="00BD4034"/>
    <w:rsid w:val="00BD4501"/>
    <w:rsid w:val="00BE2AEE"/>
    <w:rsid w:val="00BE5AF9"/>
    <w:rsid w:val="00BF1ED9"/>
    <w:rsid w:val="00BF34BE"/>
    <w:rsid w:val="00BF35AB"/>
    <w:rsid w:val="00BF5E3F"/>
    <w:rsid w:val="00BF7ACB"/>
    <w:rsid w:val="00BF7F80"/>
    <w:rsid w:val="00C0227C"/>
    <w:rsid w:val="00C03D7B"/>
    <w:rsid w:val="00C063AA"/>
    <w:rsid w:val="00C11B7E"/>
    <w:rsid w:val="00C2010E"/>
    <w:rsid w:val="00C22076"/>
    <w:rsid w:val="00C23BC4"/>
    <w:rsid w:val="00C26148"/>
    <w:rsid w:val="00C2756C"/>
    <w:rsid w:val="00C30B56"/>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86DDA"/>
    <w:rsid w:val="00C9010E"/>
    <w:rsid w:val="00C91D4D"/>
    <w:rsid w:val="00C92CCA"/>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4DD4"/>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B385A"/>
    <w:rsid w:val="00DC0B8B"/>
    <w:rsid w:val="00DC1DD2"/>
    <w:rsid w:val="00DC2CAF"/>
    <w:rsid w:val="00DC2D05"/>
    <w:rsid w:val="00DC6ECC"/>
    <w:rsid w:val="00DC7AE6"/>
    <w:rsid w:val="00DD14BC"/>
    <w:rsid w:val="00DD5010"/>
    <w:rsid w:val="00DD52E6"/>
    <w:rsid w:val="00DE1045"/>
    <w:rsid w:val="00DE233C"/>
    <w:rsid w:val="00DE4636"/>
    <w:rsid w:val="00DE787B"/>
    <w:rsid w:val="00DF0073"/>
    <w:rsid w:val="00DF02FF"/>
    <w:rsid w:val="00DF0CFA"/>
    <w:rsid w:val="00DF1C06"/>
    <w:rsid w:val="00DF6212"/>
    <w:rsid w:val="00E040FD"/>
    <w:rsid w:val="00E066C4"/>
    <w:rsid w:val="00E11BD3"/>
    <w:rsid w:val="00E145AA"/>
    <w:rsid w:val="00E161FB"/>
    <w:rsid w:val="00E162B3"/>
    <w:rsid w:val="00E20597"/>
    <w:rsid w:val="00E238C2"/>
    <w:rsid w:val="00E249F3"/>
    <w:rsid w:val="00E256E5"/>
    <w:rsid w:val="00E33290"/>
    <w:rsid w:val="00E33D9D"/>
    <w:rsid w:val="00E371B8"/>
    <w:rsid w:val="00E37A82"/>
    <w:rsid w:val="00E42417"/>
    <w:rsid w:val="00E43571"/>
    <w:rsid w:val="00E54AF8"/>
    <w:rsid w:val="00E5772A"/>
    <w:rsid w:val="00E61438"/>
    <w:rsid w:val="00E61656"/>
    <w:rsid w:val="00E6419C"/>
    <w:rsid w:val="00E64308"/>
    <w:rsid w:val="00E70BD1"/>
    <w:rsid w:val="00E718E3"/>
    <w:rsid w:val="00E741F3"/>
    <w:rsid w:val="00E82ED2"/>
    <w:rsid w:val="00E85240"/>
    <w:rsid w:val="00E9265B"/>
    <w:rsid w:val="00E96960"/>
    <w:rsid w:val="00EA267D"/>
    <w:rsid w:val="00EA32F5"/>
    <w:rsid w:val="00EA464E"/>
    <w:rsid w:val="00EA5301"/>
    <w:rsid w:val="00EA6103"/>
    <w:rsid w:val="00EB211A"/>
    <w:rsid w:val="00EB241F"/>
    <w:rsid w:val="00EC6D1A"/>
    <w:rsid w:val="00ED527A"/>
    <w:rsid w:val="00ED7FC9"/>
    <w:rsid w:val="00EE00E5"/>
    <w:rsid w:val="00EE56A6"/>
    <w:rsid w:val="00EE7B7D"/>
    <w:rsid w:val="00EE7C2B"/>
    <w:rsid w:val="00EF002F"/>
    <w:rsid w:val="00EF37D5"/>
    <w:rsid w:val="00EF4250"/>
    <w:rsid w:val="00EF4F2C"/>
    <w:rsid w:val="00EF7FEE"/>
    <w:rsid w:val="00F006CF"/>
    <w:rsid w:val="00F0179A"/>
    <w:rsid w:val="00F0215F"/>
    <w:rsid w:val="00F02180"/>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4B53"/>
    <w:rsid w:val="00F966C3"/>
    <w:rsid w:val="00FA20AC"/>
    <w:rsid w:val="00FA212E"/>
    <w:rsid w:val="00FA3B21"/>
    <w:rsid w:val="00FA71B1"/>
    <w:rsid w:val="00FA73FE"/>
    <w:rsid w:val="00FA7A5A"/>
    <w:rsid w:val="00FA7DE3"/>
    <w:rsid w:val="00FB1E38"/>
    <w:rsid w:val="00FB21D8"/>
    <w:rsid w:val="00FB26C1"/>
    <w:rsid w:val="00FB4984"/>
    <w:rsid w:val="00FB5A74"/>
    <w:rsid w:val="00FC0A6C"/>
    <w:rsid w:val="00FC68A2"/>
    <w:rsid w:val="00FC6A90"/>
    <w:rsid w:val="00FD34E6"/>
    <w:rsid w:val="00FD42B3"/>
    <w:rsid w:val="00FD6E22"/>
    <w:rsid w:val="00FE00A3"/>
    <w:rsid w:val="00FE233F"/>
    <w:rsid w:val="00FF0FBA"/>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F7BC5A-29B6-470A-8D07-B7D4AB39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link w:val="Heading2Char"/>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link w:val="BodyText2Char"/>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2Char">
    <w:name w:val="Heading 2 Char"/>
    <w:basedOn w:val="DefaultParagraphFont"/>
    <w:link w:val="Heading2"/>
    <w:rsid w:val="00561AFB"/>
    <w:rPr>
      <w:rFonts w:ascii="Arial" w:hAnsi="Arial" w:cs="Arial"/>
      <w:b/>
      <w:bCs/>
      <w:szCs w:val="24"/>
      <w:u w:val="single"/>
      <w:lang w:val="en-GB" w:eastAsia="en-US"/>
    </w:rPr>
  </w:style>
  <w:style w:type="character" w:customStyle="1" w:styleId="Heading6Char">
    <w:name w:val="Heading 6 Char"/>
    <w:basedOn w:val="DefaultParagraphFont"/>
    <w:link w:val="Heading6"/>
    <w:uiPriority w:val="9"/>
    <w:rsid w:val="00561AFB"/>
    <w:rPr>
      <w:rFonts w:ascii="Arial" w:hAnsi="Arial" w:cs="Arial"/>
      <w:b/>
      <w:bCs/>
      <w:sz w:val="12"/>
      <w:szCs w:val="24"/>
      <w:lang w:val="en-GB" w:eastAsia="en-US"/>
    </w:rPr>
  </w:style>
  <w:style w:type="character" w:customStyle="1" w:styleId="BodyText2Char">
    <w:name w:val="Body Text 2 Char"/>
    <w:basedOn w:val="DefaultParagraphFont"/>
    <w:link w:val="BodyText2"/>
    <w:rsid w:val="00561AFB"/>
    <w:rPr>
      <w:rFonts w:ascii="Arial" w:hAnsi="Arial" w:cs="Arial"/>
      <w:szCs w:val="24"/>
      <w:lang w:val="en-GB" w:eastAsia="en-US"/>
    </w:rPr>
  </w:style>
  <w:style w:type="character" w:customStyle="1" w:styleId="HeaderChar">
    <w:name w:val="Header Char"/>
    <w:basedOn w:val="DefaultParagraphFont"/>
    <w:link w:val="Header"/>
    <w:uiPriority w:val="99"/>
    <w:rsid w:val="00561AFB"/>
    <w:rPr>
      <w:rFonts w:ascii="Arial" w:hAnsi="Arial" w:cs="Arial"/>
      <w:sz w:val="22"/>
      <w:szCs w:val="24"/>
      <w:lang w:val="en-GB" w:eastAsia="en-US"/>
    </w:rPr>
  </w:style>
  <w:style w:type="table" w:customStyle="1" w:styleId="LightShading1">
    <w:name w:val="Light Shading1"/>
    <w:basedOn w:val="TableNormal"/>
    <w:uiPriority w:val="60"/>
    <w:rsid w:val="00561AFB"/>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Char">
    <w:name w:val="Body Text 3 Char"/>
    <w:basedOn w:val="DefaultParagraphFont"/>
    <w:link w:val="BodyText3"/>
    <w:uiPriority w:val="99"/>
    <w:rsid w:val="00561AFB"/>
    <w:rPr>
      <w:sz w:val="24"/>
      <w:szCs w:val="24"/>
      <w:lang w:val="en-US" w:eastAsia="en-US"/>
    </w:rPr>
  </w:style>
  <w:style w:type="character" w:styleId="FollowedHyperlink">
    <w:name w:val="FollowedHyperlink"/>
    <w:uiPriority w:val="99"/>
    <w:unhideWhenUsed/>
    <w:rsid w:val="00561AFB"/>
    <w:rPr>
      <w:color w:val="954F72"/>
      <w:u w:val="single"/>
    </w:rPr>
  </w:style>
  <w:style w:type="paragraph" w:customStyle="1" w:styleId="msonormal0">
    <w:name w:val="msonormal"/>
    <w:basedOn w:val="Normal"/>
    <w:rsid w:val="00561AFB"/>
    <w:pPr>
      <w:spacing w:before="100" w:beforeAutospacing="1" w:after="100" w:afterAutospacing="1"/>
    </w:pPr>
    <w:rPr>
      <w:rFonts w:ascii="Times New Roman" w:hAnsi="Times New Roman" w:cs="Times New Roman"/>
      <w:sz w:val="24"/>
      <w:lang w:val="en-ZA" w:eastAsia="en-ZA"/>
    </w:rPr>
  </w:style>
  <w:style w:type="paragraph" w:customStyle="1" w:styleId="xl63">
    <w:name w:val="xl63"/>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4">
    <w:name w:val="xl64"/>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5">
    <w:name w:val="xl65"/>
    <w:basedOn w:val="Normal"/>
    <w:rsid w:val="00561AF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hAnsi="Times New Roman" w:cs="Times New Roman"/>
      <w:sz w:val="24"/>
      <w:lang w:val="en-ZA" w:eastAsia="en-ZA"/>
    </w:rPr>
  </w:style>
  <w:style w:type="paragraph" w:customStyle="1" w:styleId="xl66">
    <w:name w:val="xl66"/>
    <w:basedOn w:val="Normal"/>
    <w:rsid w:val="00561AF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cs="Times New Roman"/>
      <w:sz w:val="24"/>
      <w:lang w:val="en-ZA" w:eastAsia="en-ZA"/>
    </w:rPr>
  </w:style>
  <w:style w:type="paragraph" w:customStyle="1" w:styleId="xl67">
    <w:name w:val="xl67"/>
    <w:basedOn w:val="Normal"/>
    <w:rsid w:val="00561AFB"/>
    <w:pPr>
      <w:spacing w:before="100" w:beforeAutospacing="1" w:after="100" w:afterAutospacing="1"/>
      <w:textAlignment w:val="center"/>
    </w:pPr>
    <w:rPr>
      <w:rFonts w:ascii="Times New Roman" w:hAnsi="Times New Roman" w:cs="Times New Roman"/>
      <w:sz w:val="24"/>
      <w:lang w:val="en-ZA" w:eastAsia="en-ZA"/>
    </w:rPr>
  </w:style>
  <w:style w:type="paragraph" w:customStyle="1" w:styleId="xl68">
    <w:name w:val="xl68"/>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69">
    <w:name w:val="xl69"/>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0">
    <w:name w:val="xl70"/>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1">
    <w:name w:val="xl71"/>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character" w:customStyle="1" w:styleId="BalloonTextChar">
    <w:name w:val="Balloon Text Char"/>
    <w:basedOn w:val="DefaultParagraphFont"/>
    <w:link w:val="BalloonText"/>
    <w:uiPriority w:val="99"/>
    <w:semiHidden/>
    <w:rsid w:val="00561AFB"/>
    <w:rPr>
      <w:rFonts w:ascii="Tahoma" w:hAnsi="Tahoma" w:cs="Tahoma"/>
      <w:sz w:val="16"/>
      <w:szCs w:val="16"/>
      <w:lang w:val="en-GB" w:eastAsia="en-US"/>
    </w:rPr>
  </w:style>
  <w:style w:type="paragraph" w:customStyle="1" w:styleId="xl72">
    <w:name w:val="xl72"/>
    <w:basedOn w:val="Normal"/>
    <w:rsid w:val="00561AF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lang w:val="en-ZA" w:eastAsia="en-ZA"/>
    </w:rPr>
  </w:style>
  <w:style w:type="paragraph" w:customStyle="1" w:styleId="xl73">
    <w:name w:val="xl73"/>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ZA" w:eastAsia="en-ZA"/>
    </w:rPr>
  </w:style>
  <w:style w:type="table" w:customStyle="1" w:styleId="TableGrid1">
    <w:name w:val="Table Grid1"/>
    <w:basedOn w:val="TableNormal"/>
    <w:next w:val="TableGrid"/>
    <w:uiPriority w:val="39"/>
    <w:rsid w:val="00882E6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4268836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2018-12-03T07:56:00Z</cp:lastPrinted>
  <dcterms:created xsi:type="dcterms:W3CDTF">2019-01-03T17:13:00Z</dcterms:created>
  <dcterms:modified xsi:type="dcterms:W3CDTF">2019-01-03T17:13:00Z</dcterms:modified>
</cp:coreProperties>
</file>