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38" w:rsidRPr="0066010F" w:rsidRDefault="00D21938">
      <w:pPr>
        <w:rPr>
          <w:sz w:val="10"/>
          <w:szCs w:val="16"/>
        </w:rPr>
      </w:pPr>
    </w:p>
    <w:p w:rsidR="00D21938" w:rsidRPr="0066010F" w:rsidRDefault="00D21938" w:rsidP="00CA2E3F">
      <w:pPr>
        <w:pBdr>
          <w:bottom w:val="single" w:sz="12" w:space="1" w:color="auto"/>
        </w:pBdr>
        <w:rPr>
          <w:b/>
        </w:rPr>
      </w:pPr>
      <w:r w:rsidRPr="0024233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D21938" w:rsidRDefault="00D21938" w:rsidP="008A7DCE">
      <w:pPr>
        <w:pStyle w:val="Title"/>
        <w:rPr>
          <w:rFonts w:cs="Arial"/>
          <w:szCs w:val="22"/>
          <w:lang w:val="en-GB"/>
        </w:rPr>
      </w:pPr>
    </w:p>
    <w:p w:rsidR="00D21938" w:rsidRPr="0066010F" w:rsidRDefault="00D21938" w:rsidP="008A7DCE">
      <w:pPr>
        <w:pStyle w:val="Title"/>
        <w:rPr>
          <w:rFonts w:cs="Arial"/>
          <w:szCs w:val="22"/>
          <w:lang w:val="en-GB"/>
        </w:rPr>
      </w:pPr>
      <w:r w:rsidRPr="0066010F">
        <w:rPr>
          <w:rFonts w:cs="Arial"/>
          <w:szCs w:val="22"/>
          <w:lang w:val="en-GB"/>
        </w:rPr>
        <w:t>NATIONAL ASSEMBLY</w:t>
      </w:r>
    </w:p>
    <w:p w:rsidR="00D21938" w:rsidRPr="0066010F" w:rsidRDefault="00D21938" w:rsidP="008A7DCE">
      <w:pPr>
        <w:pStyle w:val="Title"/>
        <w:jc w:val="both"/>
        <w:rPr>
          <w:rFonts w:cs="Arial"/>
          <w:szCs w:val="22"/>
          <w:lang w:val="en-GB"/>
        </w:rPr>
      </w:pPr>
    </w:p>
    <w:p w:rsidR="00D21938" w:rsidRPr="0066010F" w:rsidRDefault="00D21938" w:rsidP="008A7DCE">
      <w:pPr>
        <w:jc w:val="both"/>
        <w:rPr>
          <w:rFonts w:ascii="Arial" w:hAnsi="Arial" w:cs="Arial"/>
          <w:b/>
          <w:sz w:val="22"/>
          <w:szCs w:val="22"/>
          <w:u w:val="single"/>
        </w:rPr>
      </w:pPr>
      <w:r w:rsidRPr="0066010F">
        <w:rPr>
          <w:rFonts w:ascii="Arial" w:hAnsi="Arial" w:cs="Arial"/>
          <w:b/>
          <w:sz w:val="22"/>
          <w:szCs w:val="22"/>
          <w:u w:val="single"/>
        </w:rPr>
        <w:t>FOR WRITTEN REPLY</w:t>
      </w:r>
    </w:p>
    <w:p w:rsidR="00D21938" w:rsidRPr="0066010F" w:rsidRDefault="00D21938" w:rsidP="008A7DCE">
      <w:pPr>
        <w:jc w:val="both"/>
        <w:rPr>
          <w:rFonts w:ascii="Arial" w:hAnsi="Arial" w:cs="Arial"/>
          <w:b/>
          <w:sz w:val="22"/>
          <w:szCs w:val="22"/>
          <w:u w:val="single"/>
        </w:rPr>
      </w:pPr>
    </w:p>
    <w:p w:rsidR="00D21938" w:rsidRPr="0066010F" w:rsidRDefault="00D21938" w:rsidP="008A7DCE">
      <w:pPr>
        <w:jc w:val="both"/>
        <w:rPr>
          <w:rFonts w:ascii="Arial" w:hAnsi="Arial" w:cs="Arial"/>
          <w:b/>
          <w:sz w:val="22"/>
          <w:szCs w:val="22"/>
          <w:u w:val="single"/>
        </w:rPr>
      </w:pPr>
      <w:r w:rsidRPr="0066010F">
        <w:rPr>
          <w:rFonts w:ascii="Arial" w:hAnsi="Arial" w:cs="Arial"/>
          <w:b/>
          <w:sz w:val="22"/>
          <w:szCs w:val="22"/>
          <w:u w:val="single"/>
        </w:rPr>
        <w:t>QUESTION NO 3902</w:t>
      </w:r>
    </w:p>
    <w:p w:rsidR="00D21938" w:rsidRPr="0066010F" w:rsidRDefault="00D21938" w:rsidP="008A7DCE">
      <w:pPr>
        <w:jc w:val="both"/>
        <w:rPr>
          <w:rFonts w:ascii="Arial" w:hAnsi="Arial" w:cs="Arial"/>
          <w:b/>
          <w:sz w:val="22"/>
          <w:szCs w:val="22"/>
          <w:u w:val="single"/>
        </w:rPr>
      </w:pPr>
    </w:p>
    <w:p w:rsidR="00D21938" w:rsidRPr="0066010F" w:rsidRDefault="00D21938" w:rsidP="008A7DCE">
      <w:pPr>
        <w:jc w:val="both"/>
        <w:rPr>
          <w:rFonts w:ascii="Arial" w:hAnsi="Arial" w:cs="Arial"/>
          <w:b/>
          <w:sz w:val="22"/>
          <w:szCs w:val="22"/>
          <w:u w:val="single"/>
        </w:rPr>
      </w:pPr>
      <w:r w:rsidRPr="0066010F">
        <w:rPr>
          <w:rFonts w:ascii="Arial" w:hAnsi="Arial" w:cs="Arial"/>
          <w:b/>
          <w:sz w:val="22"/>
          <w:szCs w:val="22"/>
          <w:u w:val="single"/>
        </w:rPr>
        <w:t>DATE OF PUBLICATION IN INTERNAL QUESTION PAPER:  6 NOVEMBER 2015</w:t>
      </w:r>
    </w:p>
    <w:p w:rsidR="00D21938" w:rsidRPr="0066010F" w:rsidRDefault="00D21938" w:rsidP="00A409F2">
      <w:pPr>
        <w:tabs>
          <w:tab w:val="left" w:pos="1418"/>
        </w:tabs>
        <w:jc w:val="both"/>
        <w:rPr>
          <w:rFonts w:ascii="Arial" w:hAnsi="Arial" w:cs="Arial"/>
          <w:b/>
          <w:sz w:val="22"/>
          <w:szCs w:val="22"/>
          <w:u w:val="single"/>
        </w:rPr>
      </w:pPr>
      <w:r w:rsidRPr="0066010F">
        <w:rPr>
          <w:rFonts w:ascii="Arial" w:hAnsi="Arial" w:cs="Arial"/>
          <w:b/>
          <w:sz w:val="22"/>
          <w:szCs w:val="22"/>
          <w:u w:val="single"/>
        </w:rPr>
        <w:t>(INTERNAL QUESTION PAPER NO. 48)</w:t>
      </w:r>
    </w:p>
    <w:p w:rsidR="00D21938" w:rsidRPr="0066010F" w:rsidRDefault="00D21938" w:rsidP="00E52D88">
      <w:pPr>
        <w:spacing w:before="100" w:beforeAutospacing="1" w:after="100" w:afterAutospacing="1"/>
        <w:ind w:left="851" w:hanging="851"/>
        <w:jc w:val="both"/>
        <w:outlineLvl w:val="0"/>
        <w:rPr>
          <w:rFonts w:ascii="Arial" w:hAnsi="Arial" w:cs="Arial"/>
          <w:sz w:val="22"/>
          <w:szCs w:val="22"/>
        </w:rPr>
      </w:pPr>
      <w:r w:rsidRPr="0066010F">
        <w:rPr>
          <w:rFonts w:ascii="Arial" w:hAnsi="Arial" w:cs="Arial"/>
          <w:b/>
          <w:sz w:val="22"/>
          <w:szCs w:val="22"/>
        </w:rPr>
        <w:t>3902.</w:t>
      </w:r>
      <w:r w:rsidRPr="0066010F">
        <w:rPr>
          <w:rFonts w:ascii="Arial" w:hAnsi="Arial" w:cs="Arial"/>
          <w:b/>
          <w:sz w:val="22"/>
          <w:szCs w:val="22"/>
        </w:rPr>
        <w:tab/>
        <w:t>Mr W M Madisha (Cope) to ask the Minister of Water and Sanitation:</w:t>
      </w:r>
    </w:p>
    <w:p w:rsidR="00D21938" w:rsidRPr="0066010F" w:rsidRDefault="00D21938" w:rsidP="00E52D88">
      <w:pPr>
        <w:pStyle w:val="NormalWeb"/>
        <w:ind w:left="1440" w:right="-142" w:hanging="589"/>
        <w:jc w:val="both"/>
        <w:rPr>
          <w:rFonts w:ascii="Arial" w:hAnsi="Arial" w:cs="Arial"/>
          <w:sz w:val="22"/>
          <w:szCs w:val="22"/>
          <w:lang w:val="en-GB"/>
        </w:rPr>
      </w:pPr>
      <w:r w:rsidRPr="0066010F">
        <w:rPr>
          <w:rFonts w:ascii="Arial" w:hAnsi="Arial" w:cs="Arial"/>
          <w:sz w:val="22"/>
          <w:szCs w:val="22"/>
          <w:lang w:val="en-GB"/>
        </w:rPr>
        <w:t>(1)</w:t>
      </w:r>
      <w:r w:rsidRPr="0066010F">
        <w:rPr>
          <w:rFonts w:ascii="Arial" w:hAnsi="Arial" w:cs="Arial"/>
          <w:sz w:val="22"/>
          <w:szCs w:val="22"/>
          <w:lang w:val="en-GB"/>
        </w:rPr>
        <w:tab/>
        <w:t>Whether her department has concluded any contract with any companies in South Africa or abroad to turn acid mine water into potable water or, at least, into water that is suitable for use by industries and agriculture so that such water can be discharged into streams, and as compensation for that set a tariff to be earned by such contracting companies for each kilolitre of processed water; if not, why not; if so, what are the (a) names of the companies and (b) details of the agreement;</w:t>
      </w:r>
    </w:p>
    <w:p w:rsidR="00D21938" w:rsidRPr="0066010F" w:rsidRDefault="00D21938" w:rsidP="00E52D88">
      <w:pPr>
        <w:pStyle w:val="NormalWeb"/>
        <w:ind w:left="1440" w:right="-142" w:hanging="589"/>
        <w:jc w:val="both"/>
        <w:rPr>
          <w:sz w:val="16"/>
          <w:szCs w:val="16"/>
          <w:lang w:val="en-GB"/>
        </w:rPr>
      </w:pPr>
      <w:r w:rsidRPr="0066010F">
        <w:rPr>
          <w:rFonts w:ascii="Arial" w:hAnsi="Arial" w:cs="Arial"/>
          <w:sz w:val="22"/>
          <w:szCs w:val="22"/>
          <w:lang w:val="en-GB"/>
        </w:rPr>
        <w:t>(2)</w:t>
      </w:r>
      <w:r w:rsidRPr="0066010F">
        <w:rPr>
          <w:rFonts w:ascii="Arial" w:hAnsi="Arial" w:cs="Arial"/>
          <w:sz w:val="22"/>
          <w:szCs w:val="22"/>
          <w:lang w:val="en-GB"/>
        </w:rPr>
        <w:tab/>
        <w:t>whether she will make a statement on the prospects of making acid mine water into a viable economic venture rather than the liability it is perceived to be at present?</w:t>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22"/>
          <w:szCs w:val="22"/>
          <w:lang w:val="en-GB"/>
        </w:rPr>
        <w:tab/>
      </w:r>
      <w:r w:rsidRPr="0066010F">
        <w:rPr>
          <w:rFonts w:ascii="Arial" w:hAnsi="Arial" w:cs="Arial"/>
          <w:sz w:val="16"/>
          <w:szCs w:val="16"/>
          <w:lang w:val="en-GB"/>
        </w:rPr>
        <w:t>NW4757E</w:t>
      </w:r>
    </w:p>
    <w:p w:rsidR="00D21938" w:rsidRPr="0066010F" w:rsidRDefault="00D21938" w:rsidP="004A4A23">
      <w:pPr>
        <w:jc w:val="center"/>
        <w:rPr>
          <w:rFonts w:ascii="Arial" w:hAnsi="Arial" w:cs="Arial"/>
          <w:sz w:val="22"/>
          <w:szCs w:val="22"/>
        </w:rPr>
      </w:pPr>
      <w:r w:rsidRPr="0066010F">
        <w:rPr>
          <w:rFonts w:ascii="Arial" w:hAnsi="Arial" w:cs="Arial"/>
          <w:sz w:val="22"/>
          <w:szCs w:val="22"/>
        </w:rPr>
        <w:t>---00O00---</w:t>
      </w:r>
    </w:p>
    <w:p w:rsidR="00D21938" w:rsidRPr="009B7977" w:rsidRDefault="00D21938" w:rsidP="009B7977">
      <w:pPr>
        <w:tabs>
          <w:tab w:val="left" w:pos="6105"/>
        </w:tabs>
        <w:jc w:val="both"/>
        <w:rPr>
          <w:rFonts w:ascii="Arial" w:hAnsi="Arial" w:cs="Arial"/>
          <w:b/>
          <w:bCs/>
          <w:sz w:val="22"/>
          <w:szCs w:val="22"/>
        </w:rPr>
      </w:pPr>
      <w:r w:rsidRPr="0066010F">
        <w:rPr>
          <w:rFonts w:ascii="Arial" w:hAnsi="Arial" w:cs="Arial"/>
          <w:b/>
          <w:bCs/>
          <w:sz w:val="22"/>
          <w:szCs w:val="22"/>
        </w:rPr>
        <w:t>REPLY:</w:t>
      </w:r>
      <w:r w:rsidRPr="0066010F">
        <w:rPr>
          <w:rFonts w:ascii="Arial" w:hAnsi="Arial" w:cs="Arial"/>
          <w:bCs/>
          <w:sz w:val="22"/>
          <w:szCs w:val="22"/>
        </w:rPr>
        <w:tab/>
      </w:r>
      <w:r w:rsidRPr="0066010F">
        <w:rPr>
          <w:rFonts w:ascii="Arial" w:hAnsi="Arial" w:cs="Arial"/>
          <w:bCs/>
          <w:sz w:val="22"/>
          <w:szCs w:val="22"/>
        </w:rPr>
        <w:tab/>
      </w:r>
      <w:r w:rsidRPr="0066010F">
        <w:rPr>
          <w:rFonts w:ascii="Arial" w:hAnsi="Arial" w:cs="Arial"/>
          <w:bCs/>
          <w:sz w:val="22"/>
          <w:szCs w:val="22"/>
        </w:rPr>
        <w:tab/>
      </w:r>
    </w:p>
    <w:p w:rsidR="00D21938" w:rsidRDefault="00D21938" w:rsidP="009B7977">
      <w:pPr>
        <w:tabs>
          <w:tab w:val="left" w:pos="567"/>
          <w:tab w:val="left" w:pos="1418"/>
        </w:tabs>
        <w:spacing w:before="100" w:beforeAutospacing="1" w:after="100" w:afterAutospacing="1"/>
        <w:ind w:left="567" w:right="5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66010F">
        <w:rPr>
          <w:rFonts w:ascii="Arial" w:hAnsi="Arial" w:cs="Arial"/>
          <w:sz w:val="22"/>
          <w:szCs w:val="22"/>
        </w:rPr>
        <w:t xml:space="preserve">No, my Department has not entered into a contract with any company for the specific </w:t>
      </w:r>
      <w:r>
        <w:rPr>
          <w:rFonts w:ascii="Arial" w:hAnsi="Arial" w:cs="Arial"/>
          <w:sz w:val="22"/>
          <w:szCs w:val="22"/>
        </w:rPr>
        <w:tab/>
      </w:r>
      <w:r>
        <w:rPr>
          <w:rFonts w:ascii="Arial" w:hAnsi="Arial" w:cs="Arial"/>
          <w:sz w:val="22"/>
          <w:szCs w:val="22"/>
        </w:rPr>
        <w:tab/>
      </w:r>
      <w:r w:rsidRPr="0066010F">
        <w:rPr>
          <w:rFonts w:ascii="Arial" w:hAnsi="Arial" w:cs="Arial"/>
          <w:sz w:val="22"/>
          <w:szCs w:val="22"/>
        </w:rPr>
        <w:t xml:space="preserve">purpose of directing acid mine drainage water (AMD) into potable, industrial or </w:t>
      </w:r>
      <w:r>
        <w:rPr>
          <w:rFonts w:ascii="Arial" w:hAnsi="Arial" w:cs="Arial"/>
          <w:sz w:val="22"/>
          <w:szCs w:val="22"/>
        </w:rPr>
        <w:tab/>
      </w:r>
      <w:r w:rsidRPr="0066010F">
        <w:rPr>
          <w:rFonts w:ascii="Arial" w:hAnsi="Arial" w:cs="Arial"/>
          <w:sz w:val="22"/>
          <w:szCs w:val="22"/>
        </w:rPr>
        <w:t xml:space="preserve">agricultural use. As an interim measure for AMD mitigation in the Witwatersrand gold </w:t>
      </w:r>
      <w:r>
        <w:rPr>
          <w:rFonts w:ascii="Arial" w:hAnsi="Arial" w:cs="Arial"/>
          <w:sz w:val="22"/>
          <w:szCs w:val="22"/>
        </w:rPr>
        <w:tab/>
      </w:r>
      <w:r w:rsidRPr="0066010F">
        <w:rPr>
          <w:rFonts w:ascii="Arial" w:hAnsi="Arial" w:cs="Arial"/>
          <w:sz w:val="22"/>
          <w:szCs w:val="22"/>
        </w:rPr>
        <w:t xml:space="preserve">fields, my Department’s entity, the Trans-Caledon Tunnel Authority (TCTA), has </w:t>
      </w:r>
      <w:r>
        <w:rPr>
          <w:rFonts w:ascii="Arial" w:hAnsi="Arial" w:cs="Arial"/>
          <w:sz w:val="22"/>
          <w:szCs w:val="22"/>
        </w:rPr>
        <w:tab/>
      </w:r>
      <w:r w:rsidRPr="0066010F">
        <w:rPr>
          <w:rFonts w:ascii="Arial" w:hAnsi="Arial" w:cs="Arial"/>
          <w:sz w:val="22"/>
          <w:szCs w:val="22"/>
        </w:rPr>
        <w:t xml:space="preserve">appointed service providers to treat (neutralise) AMD for discharge into river systems. </w:t>
      </w:r>
      <w:r>
        <w:rPr>
          <w:rFonts w:ascii="Arial" w:hAnsi="Arial" w:cs="Arial"/>
          <w:sz w:val="22"/>
          <w:szCs w:val="22"/>
        </w:rPr>
        <w:tab/>
      </w:r>
      <w:r w:rsidRPr="0066010F">
        <w:rPr>
          <w:rFonts w:ascii="Arial" w:hAnsi="Arial" w:cs="Arial"/>
          <w:sz w:val="22"/>
          <w:szCs w:val="22"/>
        </w:rPr>
        <w:t>This intervention is necessary for water resource protection and averting other AMD-</w:t>
      </w:r>
      <w:r>
        <w:rPr>
          <w:rFonts w:ascii="Arial" w:hAnsi="Arial" w:cs="Arial"/>
          <w:sz w:val="22"/>
          <w:szCs w:val="22"/>
        </w:rPr>
        <w:tab/>
      </w:r>
      <w:r w:rsidRPr="0066010F">
        <w:rPr>
          <w:rFonts w:ascii="Arial" w:hAnsi="Arial" w:cs="Arial"/>
          <w:sz w:val="22"/>
          <w:szCs w:val="22"/>
        </w:rPr>
        <w:t xml:space="preserve">associated risks on the environment. For the service currently provided, no tariff is set </w:t>
      </w:r>
      <w:r>
        <w:rPr>
          <w:rFonts w:ascii="Arial" w:hAnsi="Arial" w:cs="Arial"/>
          <w:sz w:val="22"/>
          <w:szCs w:val="22"/>
        </w:rPr>
        <w:tab/>
      </w:r>
      <w:r w:rsidRPr="0066010F">
        <w:rPr>
          <w:rFonts w:ascii="Arial" w:hAnsi="Arial" w:cs="Arial"/>
          <w:sz w:val="22"/>
          <w:szCs w:val="22"/>
        </w:rPr>
        <w:t xml:space="preserve">and service providers are strictly reimbursed for the operation and maintenance cost </w:t>
      </w:r>
      <w:r>
        <w:rPr>
          <w:rFonts w:ascii="Arial" w:hAnsi="Arial" w:cs="Arial"/>
          <w:sz w:val="22"/>
          <w:szCs w:val="22"/>
        </w:rPr>
        <w:tab/>
      </w:r>
      <w:r w:rsidRPr="0066010F">
        <w:rPr>
          <w:rFonts w:ascii="Arial" w:hAnsi="Arial" w:cs="Arial"/>
          <w:sz w:val="22"/>
          <w:szCs w:val="22"/>
        </w:rPr>
        <w:t>incurred during AMD treatment.</w:t>
      </w:r>
    </w:p>
    <w:p w:rsidR="00D21938" w:rsidRDefault="00D21938" w:rsidP="009B7977">
      <w:pPr>
        <w:tabs>
          <w:tab w:val="left" w:pos="567"/>
          <w:tab w:val="left" w:pos="1418"/>
        </w:tabs>
        <w:spacing w:before="100" w:beforeAutospacing="1" w:after="100" w:afterAutospacing="1"/>
        <w:ind w:left="567" w:right="54"/>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66010F">
        <w:rPr>
          <w:rFonts w:ascii="Arial" w:hAnsi="Arial" w:cs="Arial"/>
          <w:sz w:val="22"/>
          <w:szCs w:val="22"/>
        </w:rPr>
        <w:t>The names of the companies appointed by the TCTA are Sibanye Gold and Proxa.</w:t>
      </w:r>
    </w:p>
    <w:p w:rsidR="00D21938" w:rsidRDefault="00D21938" w:rsidP="009B7977">
      <w:pPr>
        <w:tabs>
          <w:tab w:val="left" w:pos="567"/>
          <w:tab w:val="left" w:pos="1418"/>
        </w:tabs>
        <w:spacing w:before="100" w:beforeAutospacing="1" w:after="100" w:afterAutospacing="1"/>
        <w:ind w:left="567" w:right="54"/>
        <w:jc w:val="both"/>
        <w:rPr>
          <w:rFonts w:ascii="Arial" w:hAnsi="Arial" w:cs="Arial"/>
          <w:sz w:val="22"/>
          <w:szCs w:val="22"/>
        </w:rPr>
      </w:pPr>
      <w:r>
        <w:rPr>
          <w:rFonts w:ascii="Arial" w:hAnsi="Arial" w:cs="Arial"/>
          <w:sz w:val="22"/>
          <w:szCs w:val="22"/>
        </w:rPr>
        <w:t>(1)(b)</w:t>
      </w:r>
      <w:r>
        <w:rPr>
          <w:rFonts w:ascii="Arial" w:hAnsi="Arial" w:cs="Arial"/>
          <w:sz w:val="22"/>
          <w:szCs w:val="22"/>
        </w:rPr>
        <w:tab/>
      </w:r>
      <w:r w:rsidRPr="0066010F">
        <w:rPr>
          <w:rFonts w:ascii="Arial" w:hAnsi="Arial" w:cs="Arial"/>
          <w:sz w:val="22"/>
          <w:szCs w:val="22"/>
        </w:rPr>
        <w:t xml:space="preserve">Sibanye Gold and Proxa, tasked with operation and maintenance of the Western </w:t>
      </w:r>
      <w:r>
        <w:rPr>
          <w:rFonts w:ascii="Arial" w:hAnsi="Arial" w:cs="Arial"/>
          <w:sz w:val="22"/>
          <w:szCs w:val="22"/>
        </w:rPr>
        <w:tab/>
      </w:r>
      <w:r w:rsidRPr="0066010F">
        <w:rPr>
          <w:rFonts w:ascii="Arial" w:hAnsi="Arial" w:cs="Arial"/>
          <w:sz w:val="22"/>
          <w:szCs w:val="22"/>
        </w:rPr>
        <w:t xml:space="preserve">Basin AMD Plant in Randfontein, Gauteng; and the Central Basin AMD Plant in </w:t>
      </w:r>
      <w:r>
        <w:rPr>
          <w:rFonts w:ascii="Arial" w:hAnsi="Arial" w:cs="Arial"/>
          <w:sz w:val="22"/>
          <w:szCs w:val="22"/>
        </w:rPr>
        <w:tab/>
      </w:r>
      <w:r w:rsidRPr="0066010F">
        <w:rPr>
          <w:rFonts w:ascii="Arial" w:hAnsi="Arial" w:cs="Arial"/>
          <w:sz w:val="22"/>
          <w:szCs w:val="22"/>
        </w:rPr>
        <w:t xml:space="preserve">Germiston, Gauteng, respectively, perform neutralisation of AMD for discharge into </w:t>
      </w:r>
      <w:r>
        <w:rPr>
          <w:rFonts w:ascii="Arial" w:hAnsi="Arial" w:cs="Arial"/>
          <w:sz w:val="22"/>
          <w:szCs w:val="22"/>
        </w:rPr>
        <w:tab/>
      </w:r>
      <w:r w:rsidRPr="0066010F">
        <w:rPr>
          <w:rFonts w:ascii="Arial" w:hAnsi="Arial" w:cs="Arial"/>
          <w:sz w:val="22"/>
          <w:szCs w:val="22"/>
        </w:rPr>
        <w:t>river systems, thus ensuring water resource and environmental protection.</w:t>
      </w:r>
    </w:p>
    <w:p w:rsidR="00D21938" w:rsidRDefault="00D21938" w:rsidP="009B7977">
      <w:pPr>
        <w:tabs>
          <w:tab w:val="left" w:pos="567"/>
          <w:tab w:val="left" w:pos="1418"/>
        </w:tabs>
        <w:spacing w:before="100" w:beforeAutospacing="1" w:after="100" w:afterAutospacing="1"/>
        <w:ind w:left="567" w:right="5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6010F">
        <w:rPr>
          <w:rFonts w:ascii="Arial" w:hAnsi="Arial" w:cs="Arial"/>
          <w:sz w:val="22"/>
          <w:szCs w:val="22"/>
        </w:rPr>
        <w:t xml:space="preserve">I am presently considering a host of information centered on </w:t>
      </w:r>
      <w:r w:rsidRPr="0066010F">
        <w:rPr>
          <w:rFonts w:ascii="Arial" w:hAnsi="Arial" w:cs="Arial"/>
          <w:i/>
          <w:sz w:val="22"/>
          <w:szCs w:val="22"/>
        </w:rPr>
        <w:t>inter alia</w:t>
      </w:r>
      <w:r w:rsidRPr="0066010F">
        <w:rPr>
          <w:rFonts w:ascii="Arial" w:hAnsi="Arial" w:cs="Arial"/>
          <w:sz w:val="22"/>
          <w:szCs w:val="22"/>
        </w:rPr>
        <w:t xml:space="preserve">, technical, </w:t>
      </w:r>
      <w:r>
        <w:rPr>
          <w:rFonts w:ascii="Arial" w:hAnsi="Arial" w:cs="Arial"/>
          <w:sz w:val="22"/>
          <w:szCs w:val="22"/>
        </w:rPr>
        <w:tab/>
      </w:r>
      <w:r w:rsidRPr="0066010F">
        <w:rPr>
          <w:rFonts w:ascii="Arial" w:hAnsi="Arial" w:cs="Arial"/>
          <w:sz w:val="22"/>
          <w:szCs w:val="22"/>
        </w:rPr>
        <w:t xml:space="preserve">legal, financial and institutional matters necessary for a long-term project that is </w:t>
      </w:r>
      <w:r>
        <w:rPr>
          <w:rFonts w:ascii="Arial" w:hAnsi="Arial" w:cs="Arial"/>
          <w:sz w:val="22"/>
          <w:szCs w:val="22"/>
        </w:rPr>
        <w:tab/>
      </w:r>
      <w:r w:rsidRPr="0066010F">
        <w:rPr>
          <w:rFonts w:ascii="Arial" w:hAnsi="Arial" w:cs="Arial"/>
          <w:sz w:val="22"/>
          <w:szCs w:val="22"/>
        </w:rPr>
        <w:t xml:space="preserve">capable of directing AMD into beneficial (economic) uses. I will pronounce my </w:t>
      </w:r>
      <w:r>
        <w:rPr>
          <w:rFonts w:ascii="Arial" w:hAnsi="Arial" w:cs="Arial"/>
          <w:sz w:val="22"/>
          <w:szCs w:val="22"/>
        </w:rPr>
        <w:tab/>
      </w:r>
      <w:r w:rsidRPr="0066010F">
        <w:rPr>
          <w:rFonts w:ascii="Arial" w:hAnsi="Arial" w:cs="Arial"/>
          <w:sz w:val="22"/>
          <w:szCs w:val="22"/>
        </w:rPr>
        <w:t xml:space="preserve">Department’s position thereto once the internal appraisal processes are concluded </w:t>
      </w:r>
      <w:r>
        <w:rPr>
          <w:rFonts w:ascii="Arial" w:hAnsi="Arial" w:cs="Arial"/>
          <w:sz w:val="22"/>
          <w:szCs w:val="22"/>
        </w:rPr>
        <w:tab/>
      </w:r>
      <w:r w:rsidRPr="0066010F">
        <w:rPr>
          <w:rFonts w:ascii="Arial" w:hAnsi="Arial" w:cs="Arial"/>
          <w:sz w:val="22"/>
          <w:szCs w:val="22"/>
        </w:rPr>
        <w:t>and all risks fully quantified and understood.</w:t>
      </w:r>
    </w:p>
    <w:p w:rsidR="00D21938" w:rsidRPr="009B7977" w:rsidRDefault="00D21938" w:rsidP="002207F6">
      <w:pPr>
        <w:jc w:val="center"/>
        <w:rPr>
          <w:rFonts w:ascii="Arial" w:hAnsi="Arial" w:cs="Arial"/>
          <w:sz w:val="22"/>
          <w:szCs w:val="22"/>
        </w:rPr>
      </w:pPr>
      <w:r w:rsidRPr="0066010F">
        <w:rPr>
          <w:rFonts w:ascii="Arial" w:hAnsi="Arial" w:cs="Arial"/>
          <w:sz w:val="22"/>
          <w:szCs w:val="22"/>
        </w:rPr>
        <w:t>---00O00---</w:t>
      </w:r>
      <w:bookmarkStart w:id="0" w:name="_GoBack"/>
      <w:bookmarkEnd w:id="0"/>
    </w:p>
    <w:sectPr w:rsidR="00D21938" w:rsidRPr="009B7977"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38" w:rsidRDefault="00D21938">
      <w:r>
        <w:separator/>
      </w:r>
    </w:p>
  </w:endnote>
  <w:endnote w:type="continuationSeparator" w:id="0">
    <w:p w:rsidR="00D21938" w:rsidRDefault="00D21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8" w:rsidRPr="002B3F42" w:rsidRDefault="00D21938">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3902</w:t>
    </w:r>
    <w:r>
      <w:rPr>
        <w:rFonts w:ascii="Arial" w:hAnsi="Arial" w:cs="Arial"/>
        <w:sz w:val="16"/>
        <w:szCs w:val="16"/>
      </w:rPr>
      <w:tab/>
    </w:r>
    <w:r>
      <w:rPr>
        <w:rFonts w:ascii="Arial" w:hAnsi="Arial" w:cs="Arial"/>
        <w:sz w:val="16"/>
        <w:szCs w:val="16"/>
      </w:rPr>
      <w:tab/>
      <w:t>NW4757E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8" w:rsidRDefault="00D21938">
    <w:pPr>
      <w:pStyle w:val="Footer"/>
      <w:rPr>
        <w:rFonts w:ascii="Arial" w:hAnsi="Arial" w:cs="Arial"/>
        <w:sz w:val="16"/>
        <w:szCs w:val="16"/>
      </w:rPr>
    </w:pPr>
  </w:p>
  <w:p w:rsidR="00D21938" w:rsidRPr="002B3F42" w:rsidRDefault="00D21938"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3902</w:t>
    </w:r>
    <w:r>
      <w:rPr>
        <w:rFonts w:ascii="Arial" w:hAnsi="Arial" w:cs="Arial"/>
        <w:sz w:val="16"/>
        <w:szCs w:val="16"/>
      </w:rPr>
      <w:tab/>
    </w:r>
    <w:r>
      <w:rPr>
        <w:rFonts w:ascii="Arial" w:hAnsi="Arial" w:cs="Arial"/>
        <w:sz w:val="16"/>
        <w:szCs w:val="16"/>
      </w:rPr>
      <w:tab/>
      <w:t>NW4757E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38" w:rsidRDefault="00D21938">
      <w:r>
        <w:separator/>
      </w:r>
    </w:p>
  </w:footnote>
  <w:footnote w:type="continuationSeparator" w:id="0">
    <w:p w:rsidR="00D21938" w:rsidRDefault="00D21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8" w:rsidRDefault="00D21938"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938" w:rsidRDefault="00D21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19E493A"/>
    <w:multiLevelType w:val="hybridMultilevel"/>
    <w:tmpl w:val="9F72893A"/>
    <w:lvl w:ilvl="0" w:tplc="3EF2535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475967BB"/>
    <w:multiLevelType w:val="hybridMultilevel"/>
    <w:tmpl w:val="38A809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9"/>
  </w:num>
  <w:num w:numId="4">
    <w:abstractNumId w:val="2"/>
  </w:num>
  <w:num w:numId="5">
    <w:abstractNumId w:val="3"/>
  </w:num>
  <w:num w:numId="6">
    <w:abstractNumId w:val="8"/>
  </w:num>
  <w:num w:numId="7">
    <w:abstractNumId w:val="0"/>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72AF"/>
    <w:rsid w:val="00081E70"/>
    <w:rsid w:val="00086AF5"/>
    <w:rsid w:val="00090929"/>
    <w:rsid w:val="000910A6"/>
    <w:rsid w:val="0009164F"/>
    <w:rsid w:val="000938BC"/>
    <w:rsid w:val="000939A3"/>
    <w:rsid w:val="000961D4"/>
    <w:rsid w:val="000A112C"/>
    <w:rsid w:val="000A4C9F"/>
    <w:rsid w:val="000B1030"/>
    <w:rsid w:val="000B5E49"/>
    <w:rsid w:val="000B7476"/>
    <w:rsid w:val="000B74AD"/>
    <w:rsid w:val="000C4C94"/>
    <w:rsid w:val="000C5219"/>
    <w:rsid w:val="000D2600"/>
    <w:rsid w:val="000D2A0D"/>
    <w:rsid w:val="000D3512"/>
    <w:rsid w:val="000D40B7"/>
    <w:rsid w:val="000D5969"/>
    <w:rsid w:val="000E41F5"/>
    <w:rsid w:val="000F0577"/>
    <w:rsid w:val="000F3C90"/>
    <w:rsid w:val="000F5ACE"/>
    <w:rsid w:val="000F5CDD"/>
    <w:rsid w:val="000F7160"/>
    <w:rsid w:val="0010103C"/>
    <w:rsid w:val="001011DE"/>
    <w:rsid w:val="00101961"/>
    <w:rsid w:val="00101DF8"/>
    <w:rsid w:val="00103738"/>
    <w:rsid w:val="0010464B"/>
    <w:rsid w:val="00104FAA"/>
    <w:rsid w:val="00105F33"/>
    <w:rsid w:val="00115649"/>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A3"/>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07F6"/>
    <w:rsid w:val="00223893"/>
    <w:rsid w:val="002238F0"/>
    <w:rsid w:val="002326D5"/>
    <w:rsid w:val="00235204"/>
    <w:rsid w:val="0024233E"/>
    <w:rsid w:val="0024478B"/>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3C14"/>
    <w:rsid w:val="002A7090"/>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0610"/>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3139"/>
    <w:rsid w:val="004456E6"/>
    <w:rsid w:val="004476B1"/>
    <w:rsid w:val="004521C1"/>
    <w:rsid w:val="004542D2"/>
    <w:rsid w:val="00460F03"/>
    <w:rsid w:val="00461043"/>
    <w:rsid w:val="0046758B"/>
    <w:rsid w:val="00467D5C"/>
    <w:rsid w:val="00472ECA"/>
    <w:rsid w:val="00476F6C"/>
    <w:rsid w:val="00481CC0"/>
    <w:rsid w:val="00485CC3"/>
    <w:rsid w:val="004865F5"/>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12A9"/>
    <w:rsid w:val="00622F0F"/>
    <w:rsid w:val="00631D35"/>
    <w:rsid w:val="00633E6E"/>
    <w:rsid w:val="00634013"/>
    <w:rsid w:val="00634B0E"/>
    <w:rsid w:val="00634C0E"/>
    <w:rsid w:val="0063537D"/>
    <w:rsid w:val="00636952"/>
    <w:rsid w:val="00637686"/>
    <w:rsid w:val="00637824"/>
    <w:rsid w:val="00640FEE"/>
    <w:rsid w:val="006507D5"/>
    <w:rsid w:val="0066010F"/>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3F5F"/>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35CD9"/>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3D90"/>
    <w:rsid w:val="0080440C"/>
    <w:rsid w:val="0080532A"/>
    <w:rsid w:val="0080584E"/>
    <w:rsid w:val="00812C65"/>
    <w:rsid w:val="00815865"/>
    <w:rsid w:val="00815E92"/>
    <w:rsid w:val="0082036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5C7"/>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1F02"/>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B7977"/>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BF41BB"/>
    <w:rsid w:val="00C01DB2"/>
    <w:rsid w:val="00C06F36"/>
    <w:rsid w:val="00C073CA"/>
    <w:rsid w:val="00C179BF"/>
    <w:rsid w:val="00C205F2"/>
    <w:rsid w:val="00C2124A"/>
    <w:rsid w:val="00C2584F"/>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2D12"/>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42F3"/>
    <w:rsid w:val="00D050AE"/>
    <w:rsid w:val="00D1117B"/>
    <w:rsid w:val="00D11B5A"/>
    <w:rsid w:val="00D139C7"/>
    <w:rsid w:val="00D15004"/>
    <w:rsid w:val="00D21938"/>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D0F7E"/>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250B59"/>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250B59"/>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250B59"/>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250B59"/>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250B59"/>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366</Words>
  <Characters>2091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2015-11-23T06:48:00Z</dcterms:created>
  <dcterms:modified xsi:type="dcterms:W3CDTF">2015-11-23T06:48:00Z</dcterms:modified>
</cp:coreProperties>
</file>