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13CB3" w:rsidRPr="00DC6183" w:rsidRDefault="00713CB3" w:rsidP="00713CB3">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13CB3" w:rsidRPr="00DC6183" w:rsidRDefault="00713CB3" w:rsidP="00713CB3">
      <w:pPr>
        <w:jc w:val="center"/>
        <w:rPr>
          <w:rFonts w:ascii="Arial" w:hAnsi="Arial" w:cs="Arial"/>
          <w:b/>
          <w:bCs/>
          <w:lang w:val="en-ZA"/>
        </w:rPr>
      </w:pPr>
      <w:r w:rsidRPr="00DC6183">
        <w:rPr>
          <w:rFonts w:ascii="Arial" w:hAnsi="Arial" w:cs="Arial"/>
          <w:b/>
          <w:bCs/>
          <w:lang w:val="en-ZA"/>
        </w:rPr>
        <w:t>FOR WRITTEN REPLY</w:t>
      </w:r>
    </w:p>
    <w:p w:rsidR="00713CB3" w:rsidRPr="00DC6183" w:rsidRDefault="00713CB3" w:rsidP="00713CB3">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3895</w:t>
      </w:r>
    </w:p>
    <w:p w:rsidR="00713CB3" w:rsidRPr="00DC6183" w:rsidRDefault="00713CB3" w:rsidP="00713CB3">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28</w:t>
      </w:r>
      <w:r w:rsidRPr="00DC6183">
        <w:rPr>
          <w:rFonts w:ascii="Arial" w:hAnsi="Arial" w:cs="Arial"/>
          <w:b/>
          <w:bCs/>
          <w:lang w:val="en-ZA"/>
        </w:rPr>
        <w:t>/</w:t>
      </w:r>
      <w:r>
        <w:rPr>
          <w:rFonts w:ascii="Arial" w:hAnsi="Arial" w:cs="Arial"/>
          <w:b/>
          <w:bCs/>
          <w:lang w:val="en-ZA"/>
        </w:rPr>
        <w:t>10</w:t>
      </w:r>
      <w:r w:rsidRPr="00DC6183">
        <w:rPr>
          <w:rFonts w:ascii="Arial" w:hAnsi="Arial" w:cs="Arial"/>
          <w:b/>
          <w:bCs/>
          <w:lang w:val="en-ZA"/>
        </w:rPr>
        <w:t>/20</w:t>
      </w:r>
      <w:r>
        <w:rPr>
          <w:rFonts w:ascii="Arial" w:hAnsi="Arial" w:cs="Arial"/>
          <w:b/>
          <w:bCs/>
          <w:lang w:val="en-ZA"/>
        </w:rPr>
        <w:t>22</w:t>
      </w:r>
    </w:p>
    <w:p w:rsidR="00713CB3" w:rsidRPr="00FF2AAB" w:rsidRDefault="00713CB3" w:rsidP="00713CB3">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42</w:t>
      </w:r>
      <w:r w:rsidRPr="00DC6183">
        <w:rPr>
          <w:rFonts w:ascii="Arial" w:hAnsi="Arial" w:cs="Arial"/>
          <w:b/>
          <w:bCs/>
          <w:lang w:val="en-ZA"/>
        </w:rPr>
        <w:t xml:space="preserve"> OF 20</w:t>
      </w:r>
      <w:r>
        <w:rPr>
          <w:rFonts w:ascii="Arial" w:hAnsi="Arial" w:cs="Arial"/>
          <w:b/>
          <w:bCs/>
          <w:lang w:val="en-ZA"/>
        </w:rPr>
        <w:t>22</w:t>
      </w:r>
    </w:p>
    <w:p w:rsidR="00713CB3" w:rsidRPr="00DC0E72" w:rsidRDefault="00713CB3" w:rsidP="00713CB3">
      <w:pPr>
        <w:spacing w:before="100" w:beforeAutospacing="1" w:after="100" w:afterAutospacing="1" w:line="360" w:lineRule="auto"/>
        <w:ind w:left="720" w:right="26" w:hanging="720"/>
        <w:jc w:val="both"/>
        <w:outlineLvl w:val="0"/>
        <w:rPr>
          <w:rFonts w:ascii="Arial" w:hAnsi="Arial" w:cs="Arial"/>
          <w:b/>
          <w:lang w:val="en-ZA"/>
        </w:rPr>
      </w:pPr>
      <w:r w:rsidRPr="0093245A">
        <w:rPr>
          <w:rFonts w:ascii="Times New Roman" w:hAnsi="Times New Roman" w:cs="Times New Roman"/>
          <w:b/>
          <w:bCs/>
          <w:sz w:val="24"/>
          <w:szCs w:val="24"/>
          <w:lang w:val="en-ZA"/>
        </w:rPr>
        <w:tab/>
      </w:r>
      <w:r w:rsidRPr="00DC0E72">
        <w:rPr>
          <w:rFonts w:ascii="Arial" w:hAnsi="Arial" w:cs="Arial"/>
          <w:b/>
          <w:lang w:val="en-ZA"/>
        </w:rPr>
        <w:t xml:space="preserve">Mr S </w:t>
      </w:r>
      <w:proofErr w:type="spellStart"/>
      <w:r w:rsidRPr="00DC0E72">
        <w:rPr>
          <w:rFonts w:ascii="Arial" w:hAnsi="Arial" w:cs="Arial"/>
          <w:b/>
          <w:lang w:val="en-ZA"/>
        </w:rPr>
        <w:t>S</w:t>
      </w:r>
      <w:proofErr w:type="spellEnd"/>
      <w:r w:rsidRPr="00DC0E72">
        <w:rPr>
          <w:rFonts w:ascii="Arial" w:hAnsi="Arial" w:cs="Arial"/>
          <w:b/>
          <w:lang w:val="en-ZA"/>
        </w:rPr>
        <w:t xml:space="preserve"> </w:t>
      </w:r>
      <w:proofErr w:type="spellStart"/>
      <w:r w:rsidRPr="00DC0E72">
        <w:rPr>
          <w:rFonts w:ascii="Arial" w:hAnsi="Arial" w:cs="Arial"/>
          <w:b/>
          <w:lang w:val="en-ZA"/>
        </w:rPr>
        <w:t>Zondo</w:t>
      </w:r>
      <w:proofErr w:type="spellEnd"/>
      <w:r w:rsidRPr="00DC0E72">
        <w:rPr>
          <w:rFonts w:ascii="Arial" w:hAnsi="Arial" w:cs="Arial"/>
          <w:b/>
          <w:lang w:val="en-ZA"/>
        </w:rPr>
        <w:t xml:space="preserve"> (IFP) to ask the Minister of Higher Education, Science and Innovation</w:t>
      </w:r>
      <w:r w:rsidR="0042436F" w:rsidRPr="00DC0E72">
        <w:rPr>
          <w:rFonts w:ascii="Arial" w:hAnsi="Arial" w:cs="Arial"/>
          <w:b/>
          <w:lang w:val="en-ZA"/>
        </w:rPr>
        <w:fldChar w:fldCharType="begin"/>
      </w:r>
      <w:r w:rsidRPr="00DC0E72">
        <w:rPr>
          <w:rFonts w:ascii="Arial" w:hAnsi="Arial" w:cs="Arial"/>
          <w:lang w:val="en-ZA"/>
        </w:rPr>
        <w:instrText xml:space="preserve"> XE "</w:instrText>
      </w:r>
      <w:r w:rsidRPr="00DC0E72">
        <w:rPr>
          <w:rFonts w:ascii="Arial" w:hAnsi="Arial" w:cs="Arial"/>
          <w:b/>
          <w:lang w:val="en-ZA"/>
        </w:rPr>
        <w:instrText>Minister of Higher Education, Science and Innovation</w:instrText>
      </w:r>
      <w:r w:rsidRPr="00DC0E72">
        <w:rPr>
          <w:rFonts w:ascii="Arial" w:hAnsi="Arial" w:cs="Arial"/>
          <w:lang w:val="en-ZA"/>
        </w:rPr>
        <w:instrText xml:space="preserve">" </w:instrText>
      </w:r>
      <w:r w:rsidR="0042436F" w:rsidRPr="00DC0E72">
        <w:rPr>
          <w:rFonts w:ascii="Arial" w:hAnsi="Arial" w:cs="Arial"/>
          <w:b/>
          <w:lang w:val="en-ZA"/>
        </w:rPr>
        <w:fldChar w:fldCharType="end"/>
      </w:r>
      <w:r w:rsidRPr="00DC0E72">
        <w:rPr>
          <w:rFonts w:ascii="Arial" w:hAnsi="Arial" w:cs="Arial"/>
          <w:b/>
          <w:lang w:val="en-ZA"/>
        </w:rPr>
        <w:t>:</w:t>
      </w:r>
    </w:p>
    <w:p w:rsidR="00713CB3" w:rsidRPr="008B1B7A" w:rsidRDefault="00713CB3" w:rsidP="00713CB3">
      <w:pPr>
        <w:spacing w:before="240" w:after="160" w:line="360" w:lineRule="auto"/>
        <w:ind w:left="709" w:right="305" w:firstLine="11"/>
        <w:jc w:val="both"/>
        <w:rPr>
          <w:rFonts w:ascii="Arial" w:hAnsi="Arial" w:cs="Arial"/>
          <w:color w:val="212121"/>
          <w:lang w:val="en-ZA"/>
        </w:rPr>
      </w:pPr>
      <w:r w:rsidRPr="008B1B7A">
        <w:rPr>
          <w:rFonts w:ascii="Arial" w:hAnsi="Arial" w:cs="Arial"/>
        </w:rPr>
        <w:t>Considering</w:t>
      </w:r>
      <w:r w:rsidRPr="008B1B7A">
        <w:rPr>
          <w:rFonts w:ascii="Arial" w:hAnsi="Arial" w:cs="Arial"/>
          <w:color w:val="212121"/>
          <w:lang w:val="en-ZA"/>
        </w:rPr>
        <w:t xml:space="preserve"> the environment of remote teaching and </w:t>
      </w:r>
      <w:r w:rsidRPr="008B1B7A">
        <w:rPr>
          <w:rFonts w:ascii="Arial" w:hAnsi="Arial" w:cs="Arial"/>
          <w:lang w:val="en-ZA"/>
        </w:rPr>
        <w:t>learning</w:t>
      </w:r>
      <w:r w:rsidRPr="008B1B7A">
        <w:rPr>
          <w:rFonts w:ascii="Arial" w:hAnsi="Arial" w:cs="Arial"/>
          <w:color w:val="212121"/>
          <w:lang w:val="en-ZA"/>
        </w:rPr>
        <w:t xml:space="preserve"> in higher education institutions, how has his department facilitated inter-institutional </w:t>
      </w:r>
      <w:r w:rsidRPr="008B1B7A">
        <w:rPr>
          <w:rFonts w:ascii="Arial" w:hAnsi="Arial" w:cs="Arial"/>
          <w:lang w:val="en-ZA"/>
        </w:rPr>
        <w:t>collaboration</w:t>
      </w:r>
      <w:r w:rsidRPr="008B1B7A">
        <w:rPr>
          <w:rFonts w:ascii="Arial" w:hAnsi="Arial" w:cs="Arial"/>
          <w:color w:val="212121"/>
          <w:lang w:val="en-ZA"/>
        </w:rPr>
        <w:t xml:space="preserve"> on best practice methods that will ease the strain placed on students and educators</w:t>
      </w:r>
      <w:r w:rsidRPr="008B1B7A">
        <w:rPr>
          <w:rFonts w:ascii="Arial" w:hAnsi="Arial" w:cs="Arial"/>
          <w:lang w:val="en-ZA"/>
        </w:rPr>
        <w:t>?</w:t>
      </w:r>
      <w:r w:rsidRPr="008B1B7A">
        <w:rPr>
          <w:rFonts w:ascii="Arial" w:hAnsi="Arial" w:cs="Arial"/>
          <w:lang w:val="en-ZA"/>
        </w:rPr>
        <w:tab/>
      </w:r>
      <w:r w:rsidRPr="008B1B7A">
        <w:rPr>
          <w:rFonts w:ascii="Arial" w:hAnsi="Arial" w:cs="Arial"/>
          <w:lang w:val="en-ZA"/>
        </w:rPr>
        <w:tab/>
      </w:r>
      <w:r w:rsidRPr="008B1B7A">
        <w:rPr>
          <w:rFonts w:ascii="Arial" w:hAnsi="Arial" w:cs="Arial"/>
          <w:lang w:val="en-ZA"/>
        </w:rPr>
        <w:tab/>
      </w:r>
      <w:r w:rsidRPr="008B1B7A">
        <w:rPr>
          <w:rFonts w:ascii="Arial" w:hAnsi="Arial" w:cs="Arial"/>
          <w:lang w:val="en-ZA"/>
        </w:rPr>
        <w:tab/>
      </w:r>
      <w:r w:rsidRPr="008B1B7A">
        <w:rPr>
          <w:rFonts w:ascii="Arial" w:hAnsi="Arial" w:cs="Arial"/>
          <w:lang w:val="en-ZA"/>
        </w:rPr>
        <w:tab/>
      </w:r>
      <w:r w:rsidRPr="008B1B7A">
        <w:rPr>
          <w:rFonts w:ascii="Arial" w:hAnsi="Arial" w:cs="Arial"/>
          <w:lang w:val="en-ZA"/>
        </w:rPr>
        <w:tab/>
      </w:r>
      <w:r w:rsidRPr="008B1B7A">
        <w:rPr>
          <w:rFonts w:ascii="Arial" w:hAnsi="Arial" w:cs="Arial"/>
          <w:lang w:val="en-ZA"/>
        </w:rPr>
        <w:tab/>
      </w:r>
      <w:r w:rsidRPr="008B1B7A">
        <w:rPr>
          <w:rFonts w:ascii="Arial" w:hAnsi="Arial" w:cs="Arial"/>
          <w:lang w:val="en-ZA"/>
        </w:rPr>
        <w:tab/>
      </w:r>
      <w:r w:rsidRPr="008B1B7A">
        <w:rPr>
          <w:rFonts w:ascii="Arial" w:hAnsi="Arial" w:cs="Arial"/>
          <w:lang w:val="en-ZA"/>
        </w:rPr>
        <w:tab/>
      </w:r>
      <w:r w:rsidRPr="008B1B7A">
        <w:rPr>
          <w:rFonts w:ascii="Arial" w:hAnsi="Arial" w:cs="Arial"/>
          <w:lang w:val="en-ZA"/>
        </w:rPr>
        <w:tab/>
      </w:r>
      <w:r w:rsidRPr="008B1B7A">
        <w:rPr>
          <w:rFonts w:ascii="Arial" w:hAnsi="Arial" w:cs="Arial"/>
          <w:lang w:val="en-ZA"/>
        </w:rPr>
        <w:tab/>
      </w:r>
      <w:r w:rsidRPr="008B1B7A">
        <w:rPr>
          <w:rFonts w:ascii="Arial" w:hAnsi="Arial" w:cs="Arial"/>
          <w:lang w:val="en-ZA"/>
        </w:rPr>
        <w:tab/>
      </w:r>
      <w:r w:rsidRPr="008B1B7A">
        <w:rPr>
          <w:rFonts w:ascii="Arial" w:hAnsi="Arial" w:cs="Arial"/>
          <w:b/>
          <w:lang w:val="en-ZA"/>
        </w:rPr>
        <w:t>NW4853E</w:t>
      </w:r>
    </w:p>
    <w:p w:rsidR="00713CB3" w:rsidRDefault="00713CB3" w:rsidP="00713CB3">
      <w:pPr>
        <w:spacing w:before="100" w:beforeAutospacing="1" w:after="100" w:afterAutospacing="1" w:line="360" w:lineRule="auto"/>
        <w:ind w:left="720" w:right="26" w:hanging="720"/>
        <w:jc w:val="both"/>
        <w:outlineLvl w:val="0"/>
        <w:rPr>
          <w:rFonts w:ascii="Arial" w:hAnsi="Arial" w:cs="Arial"/>
          <w:b/>
        </w:rPr>
      </w:pPr>
    </w:p>
    <w:p w:rsidR="00713CB3" w:rsidRDefault="00713CB3" w:rsidP="00713CB3">
      <w:pPr>
        <w:spacing w:before="100" w:beforeAutospacing="1" w:after="100" w:afterAutospacing="1" w:line="360" w:lineRule="auto"/>
        <w:ind w:left="720" w:right="26" w:hanging="720"/>
        <w:jc w:val="both"/>
        <w:outlineLvl w:val="0"/>
        <w:rPr>
          <w:rFonts w:ascii="Arial" w:hAnsi="Arial" w:cs="Arial"/>
          <w:b/>
        </w:rPr>
      </w:pPr>
    </w:p>
    <w:p w:rsidR="00713CB3" w:rsidRDefault="00713CB3" w:rsidP="00713CB3">
      <w:pPr>
        <w:spacing w:before="100" w:beforeAutospacing="1" w:after="100" w:afterAutospacing="1" w:line="360" w:lineRule="auto"/>
        <w:ind w:right="26"/>
        <w:jc w:val="both"/>
        <w:outlineLvl w:val="0"/>
        <w:rPr>
          <w:rFonts w:ascii="Arial" w:hAnsi="Arial" w:cs="Arial"/>
          <w:b/>
        </w:rPr>
      </w:pPr>
    </w:p>
    <w:p w:rsidR="00713CB3" w:rsidRDefault="00713CB3" w:rsidP="00713CB3">
      <w:pPr>
        <w:spacing w:before="100" w:beforeAutospacing="1" w:after="100" w:afterAutospacing="1" w:line="360" w:lineRule="auto"/>
        <w:ind w:right="26"/>
        <w:jc w:val="both"/>
        <w:outlineLvl w:val="0"/>
        <w:rPr>
          <w:rFonts w:ascii="Arial" w:hAnsi="Arial" w:cs="Arial"/>
          <w:b/>
        </w:rPr>
      </w:pPr>
    </w:p>
    <w:p w:rsidR="00713CB3" w:rsidRDefault="00713CB3" w:rsidP="00713CB3">
      <w:pPr>
        <w:spacing w:before="100" w:beforeAutospacing="1" w:after="100" w:afterAutospacing="1" w:line="360" w:lineRule="auto"/>
        <w:ind w:right="26"/>
        <w:jc w:val="both"/>
        <w:outlineLvl w:val="0"/>
        <w:rPr>
          <w:rFonts w:ascii="Arial" w:hAnsi="Arial" w:cs="Arial"/>
          <w:b/>
        </w:rPr>
      </w:pPr>
    </w:p>
    <w:p w:rsidR="00713CB3" w:rsidRDefault="00713CB3" w:rsidP="00713CB3">
      <w:pPr>
        <w:spacing w:before="100" w:beforeAutospacing="1" w:after="100" w:afterAutospacing="1" w:line="360" w:lineRule="auto"/>
        <w:ind w:right="26"/>
        <w:jc w:val="both"/>
        <w:outlineLvl w:val="0"/>
        <w:rPr>
          <w:rFonts w:ascii="Arial" w:hAnsi="Arial" w:cs="Arial"/>
          <w:b/>
        </w:rPr>
      </w:pPr>
    </w:p>
    <w:p w:rsidR="00713CB3" w:rsidRDefault="00713CB3" w:rsidP="00713CB3">
      <w:pPr>
        <w:spacing w:before="100" w:beforeAutospacing="1" w:after="100" w:afterAutospacing="1" w:line="360" w:lineRule="auto"/>
        <w:ind w:right="26"/>
        <w:jc w:val="both"/>
        <w:outlineLvl w:val="0"/>
        <w:rPr>
          <w:rFonts w:ascii="Arial" w:hAnsi="Arial" w:cs="Arial"/>
          <w:b/>
        </w:rPr>
      </w:pPr>
    </w:p>
    <w:p w:rsidR="00713CB3" w:rsidRDefault="00713CB3" w:rsidP="00713CB3">
      <w:pPr>
        <w:spacing w:before="100" w:beforeAutospacing="1" w:after="100" w:afterAutospacing="1" w:line="360" w:lineRule="auto"/>
        <w:ind w:right="26"/>
        <w:jc w:val="both"/>
        <w:outlineLvl w:val="0"/>
        <w:rPr>
          <w:rFonts w:ascii="Arial" w:hAnsi="Arial" w:cs="Arial"/>
          <w:b/>
        </w:rPr>
      </w:pPr>
    </w:p>
    <w:p w:rsidR="00713CB3" w:rsidRDefault="00713CB3" w:rsidP="00713CB3">
      <w:pPr>
        <w:spacing w:before="100" w:beforeAutospacing="1" w:after="100" w:afterAutospacing="1" w:line="360" w:lineRule="auto"/>
        <w:ind w:right="26"/>
        <w:jc w:val="both"/>
        <w:outlineLvl w:val="0"/>
        <w:rPr>
          <w:rFonts w:ascii="Arial" w:hAnsi="Arial" w:cs="Arial"/>
          <w:b/>
        </w:rPr>
      </w:pPr>
    </w:p>
    <w:p w:rsidR="00713CB3" w:rsidRDefault="00713CB3" w:rsidP="00713CB3">
      <w:pPr>
        <w:spacing w:before="100" w:beforeAutospacing="1" w:after="100" w:afterAutospacing="1" w:line="360" w:lineRule="auto"/>
        <w:ind w:right="26"/>
        <w:jc w:val="both"/>
        <w:outlineLvl w:val="0"/>
        <w:rPr>
          <w:rFonts w:ascii="Arial" w:hAnsi="Arial" w:cs="Arial"/>
          <w:b/>
        </w:rPr>
      </w:pPr>
    </w:p>
    <w:p w:rsidR="00713CB3" w:rsidRDefault="00713CB3" w:rsidP="00713CB3">
      <w:pPr>
        <w:spacing w:before="100" w:beforeAutospacing="1" w:after="100" w:afterAutospacing="1" w:line="360" w:lineRule="auto"/>
        <w:ind w:right="26"/>
        <w:jc w:val="both"/>
        <w:outlineLvl w:val="0"/>
        <w:rPr>
          <w:rFonts w:ascii="Arial" w:hAnsi="Arial" w:cs="Arial"/>
          <w:b/>
        </w:rPr>
      </w:pPr>
    </w:p>
    <w:p w:rsidR="00713CB3" w:rsidRPr="00F31739" w:rsidRDefault="00713CB3" w:rsidP="00713CB3">
      <w:pPr>
        <w:spacing w:before="100" w:beforeAutospacing="1" w:after="100" w:afterAutospacing="1" w:line="360" w:lineRule="auto"/>
        <w:ind w:right="26"/>
        <w:jc w:val="both"/>
        <w:outlineLvl w:val="0"/>
        <w:rPr>
          <w:rFonts w:ascii="Arial" w:hAnsi="Arial" w:cs="Arial"/>
          <w:b/>
          <w:lang w:val="en-ZA"/>
        </w:rPr>
      </w:pPr>
      <w:r w:rsidRPr="004F3DF8">
        <w:rPr>
          <w:rFonts w:ascii="Arial" w:hAnsi="Arial" w:cs="Arial"/>
          <w:b/>
        </w:rPr>
        <w:t>REPLY:</w:t>
      </w:r>
    </w:p>
    <w:bookmarkEnd w:id="0"/>
    <w:p w:rsidR="00713CB3" w:rsidRPr="00A223AD" w:rsidRDefault="00713CB3" w:rsidP="00713CB3">
      <w:pPr>
        <w:pStyle w:val="NormalWeb"/>
        <w:spacing w:line="360" w:lineRule="auto"/>
        <w:ind w:right="30"/>
        <w:jc w:val="both"/>
        <w:rPr>
          <w:rFonts w:ascii="Arial" w:hAnsi="Arial" w:cs="Arial"/>
          <w:sz w:val="22"/>
          <w:szCs w:val="22"/>
        </w:rPr>
      </w:pPr>
      <w:r w:rsidRPr="00A223AD">
        <w:rPr>
          <w:rFonts w:ascii="Arial" w:hAnsi="Arial" w:cs="Arial"/>
          <w:sz w:val="22"/>
          <w:szCs w:val="22"/>
        </w:rPr>
        <w:t>During the COVID-19 pandemic and the national lockdown, normal teaching and learning was severely impacted as a result of the suspension of physical classes and physical interaction between students and lecturers on campus. Funds (COVID-19 Responsiveness Grant) were made available to each university to enable the teaching and learning programme to continue through the adoption of remote teaching and learning strategies. At that point the focus was on ensuring that each university is supported to deal with its unique situation. However, through Higher Health, the Department was able to use technological solutions to support the entire PSET sector and eased the burden of educators.</w:t>
      </w:r>
    </w:p>
    <w:p w:rsidR="00713CB3" w:rsidRPr="00A223AD" w:rsidRDefault="00713CB3" w:rsidP="00713CB3">
      <w:pPr>
        <w:pStyle w:val="NormalWeb"/>
        <w:spacing w:line="360" w:lineRule="auto"/>
        <w:ind w:right="30"/>
        <w:jc w:val="both"/>
        <w:rPr>
          <w:rFonts w:ascii="Arial" w:hAnsi="Arial" w:cs="Arial"/>
          <w:sz w:val="22"/>
          <w:szCs w:val="22"/>
        </w:rPr>
      </w:pPr>
      <w:r w:rsidRPr="00A223AD">
        <w:rPr>
          <w:rFonts w:ascii="Arial" w:hAnsi="Arial" w:cs="Arial"/>
          <w:sz w:val="22"/>
          <w:szCs w:val="22"/>
        </w:rPr>
        <w:t>Furthermore, the Department facilitated collaboration amongst universities and relevant stakeholders through collaborative programmes that are funded through the University Capacity Development Grant (UCDG) that is allocated by the Minister each year. The grant also supports collaboration through research projects.</w:t>
      </w:r>
    </w:p>
    <w:p w:rsidR="00BD00C9" w:rsidRPr="00230B62" w:rsidRDefault="00BD00C9" w:rsidP="006F70DB">
      <w:pPr>
        <w:spacing w:before="240"/>
        <w:jc w:val="center"/>
        <w:rPr>
          <w:rFonts w:ascii="Arial" w:hAnsi="Arial" w:cs="Arial"/>
          <w:bCs/>
          <w:lang w:val="en-ZA"/>
        </w:rPr>
      </w:pPr>
    </w:p>
    <w:sectPr w:rsidR="00BD00C9" w:rsidRPr="00230B62"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61" w:rsidRDefault="00361E61">
      <w:pPr>
        <w:spacing w:after="0" w:line="240" w:lineRule="auto"/>
      </w:pPr>
      <w:r>
        <w:separator/>
      </w:r>
    </w:p>
  </w:endnote>
  <w:endnote w:type="continuationSeparator" w:id="0">
    <w:p w:rsidR="00361E61" w:rsidRDefault="00361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61" w:rsidRDefault="00361E61">
      <w:pPr>
        <w:spacing w:after="0" w:line="240" w:lineRule="auto"/>
      </w:pPr>
      <w:r>
        <w:separator/>
      </w:r>
    </w:p>
  </w:footnote>
  <w:footnote w:type="continuationSeparator" w:id="0">
    <w:p w:rsidR="00361E61" w:rsidRDefault="00361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E7D26"/>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1E61"/>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436F"/>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3CB3"/>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5819"/>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5773F"/>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88A820-2D93-4715-B44A-4A359362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2022-11-11T14:05:00Z</dcterms:created>
  <dcterms:modified xsi:type="dcterms:W3CDTF">2022-11-11T14:05:00Z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