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FE079C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9C" w:rsidRDefault="00FE079C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E079C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A544EE">
        <w:rPr>
          <w:rFonts w:ascii="Arial" w:hAnsi="Arial" w:cs="Arial"/>
          <w:b/>
          <w:bCs/>
          <w:sz w:val="24"/>
          <w:szCs w:val="24"/>
        </w:rPr>
        <w:t>3890</w:t>
      </w:r>
    </w:p>
    <w:p w:rsidR="00B236EF" w:rsidRDefault="00FE079C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28 OCTOBER 2022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D60A6" w:rsidRDefault="00A544EE" w:rsidP="00DD60A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544EE">
        <w:rPr>
          <w:rFonts w:ascii="Arial" w:eastAsia="Times New Roman" w:hAnsi="Arial" w:cs="Arial"/>
          <w:b/>
          <w:sz w:val="24"/>
          <w:szCs w:val="24"/>
          <w:lang w:val="en-US"/>
        </w:rPr>
        <w:t xml:space="preserve">Inkosi R N Cebekhulu </w:t>
      </w:r>
      <w:r w:rsidR="00D66290"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IFP</w:t>
      </w:r>
      <w:r w:rsidR="00294D96" w:rsidRPr="00B236EF">
        <w:rPr>
          <w:rFonts w:ascii="Arial" w:eastAsia="Times New Roman" w:hAnsi="Arial" w:cs="Arial"/>
          <w:b/>
          <w:sz w:val="24"/>
          <w:szCs w:val="24"/>
          <w:lang w:val="en-US"/>
        </w:rPr>
        <w:t xml:space="preserve">) to ask the </w:t>
      </w:r>
      <w:r w:rsidR="00DD60A6" w:rsidRPr="00DD60A6">
        <w:rPr>
          <w:rFonts w:ascii="Arial" w:eastAsia="Times New Roman" w:hAnsi="Arial" w:cs="Arial"/>
          <w:b/>
          <w:sz w:val="24"/>
          <w:szCs w:val="24"/>
          <w:lang w:val="en-US"/>
        </w:rPr>
        <w:t>Minister of Trade, Industry and Competition:</w:t>
      </w:r>
    </w:p>
    <w:p w:rsidR="00DE45A5" w:rsidRPr="00DE45A5" w:rsidRDefault="00A544EE" w:rsidP="00A544EE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A544EE">
        <w:rPr>
          <w:rFonts w:ascii="Arial" w:eastAsia="Calibri" w:hAnsi="Arial" w:cs="Arial"/>
          <w:sz w:val="24"/>
          <w:szCs w:val="24"/>
          <w:lang w:val="en-GB"/>
        </w:rPr>
        <w:t xml:space="preserve">With regard to his department’s mandate to promote a dynamic industrial and globally competitive economy, what proactive action has his department taken to ensure that the Republic continues to positively participate in the global economy amidst looming </w:t>
      </w:r>
      <w:r w:rsidR="00D3781A" w:rsidRPr="00A544EE">
        <w:rPr>
          <w:rFonts w:ascii="Arial" w:eastAsia="Calibri" w:hAnsi="Arial" w:cs="Arial"/>
          <w:sz w:val="24"/>
          <w:szCs w:val="24"/>
          <w:lang w:val="en-GB"/>
        </w:rPr>
        <w:t>grey list</w:t>
      </w:r>
      <w:r w:rsidRPr="00A544EE">
        <w:rPr>
          <w:rFonts w:ascii="Arial" w:eastAsia="Calibri" w:hAnsi="Arial" w:cs="Arial"/>
          <w:sz w:val="24"/>
          <w:szCs w:val="24"/>
          <w:lang w:val="en-GB"/>
        </w:rPr>
        <w:t xml:space="preserve"> status and the high inflation rates which have had a negative impact on consumers?</w:t>
      </w:r>
    </w:p>
    <w:p w:rsidR="00B236EF" w:rsidRDefault="005872CB" w:rsidP="005872CB">
      <w:pPr>
        <w:spacing w:after="0" w:line="360" w:lineRule="auto"/>
        <w:ind w:left="7200" w:firstLine="720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   </w:t>
      </w:r>
      <w:r w:rsidR="004E66FB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A544EE" w:rsidRPr="00A544EE">
        <w:rPr>
          <w:rFonts w:ascii="Arial" w:eastAsia="Calibri" w:hAnsi="Arial" w:cs="Arial"/>
          <w:sz w:val="24"/>
          <w:szCs w:val="24"/>
          <w:lang w:val="en-GB"/>
        </w:rPr>
        <w:t>NW4848E</w:t>
      </w:r>
    </w:p>
    <w:p w:rsidR="00DE45A5" w:rsidRDefault="00DE45A5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D66290" w:rsidRDefault="00C3289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C60F52" w:rsidRPr="00B236EF" w:rsidRDefault="00C60F52" w:rsidP="009C2685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0F2D57" w:rsidRPr="00B159A7" w:rsidRDefault="00C0627A" w:rsidP="00B159A7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="00E113E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 Department of Trade, Industry and Competition (</w:t>
      </w:r>
      <w:r w:rsidR="00E113E7" w:rsidRPr="00B159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the dtic</w:t>
      </w:r>
      <w:r w:rsidR="00E113E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is focused on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supporting domestic businesses and </w:t>
      </w:r>
      <w:r w:rsidR="00E113E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foreign and domestic investors. </w:t>
      </w:r>
    </w:p>
    <w:p w:rsidR="000F2D57" w:rsidRPr="00B159A7" w:rsidRDefault="000F2D57" w:rsidP="00B159A7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3781A" w:rsidRPr="00B159A7" w:rsidRDefault="00E113E7" w:rsidP="00717D3F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This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support </w:t>
      </w: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includes </w:t>
      </w:r>
      <w:r w:rsidR="001A5983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conceptualisation and</w:t>
      </w:r>
      <w:r w:rsidR="001A5983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implementation of sectoral Masterplans by Government, </w:t>
      </w:r>
      <w:r w:rsidR="004E66F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Business and organised Labour. </w:t>
      </w:r>
      <w:r w:rsidR="004E66FB" w:rsidRPr="00B159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the dtic</w:t>
      </w:r>
      <w:r w:rsidR="004E66F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’s</w:t>
      </w:r>
      <w:r w:rsidR="001A5983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interventions include the provision of globally competitive </w:t>
      </w: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financial and non-financial incentives</w:t>
      </w:r>
      <w:r w:rsidR="001A5983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; support for localisation through targeted private and public procurement interventions; careful use of trade policy measures to support investment in the industrial sector; measures in the competition policy space which encourage investment and localisation; and unblocking activities to assist investors to </w:t>
      </w:r>
      <w:r w:rsidR="006B1958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navigate South Africa’s regulatory environment as efficiently as possible. 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These efforts bear fruit with new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investments publicly launched in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the first six months of this financial year valued at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26, 9 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billion and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R329 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billion worth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manufactured goods were exported in the same period</w:t>
      </w:r>
    </w:p>
    <w:p w:rsidR="00D3781A" w:rsidRPr="00B159A7" w:rsidRDefault="00D3781A" w:rsidP="00B159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C67AF" w:rsidRPr="00B159A7" w:rsidRDefault="00D3781A" w:rsidP="00B159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common</w:t>
      </w:r>
      <w:r w:rsidR="000F2D5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with its key trading partners, South Africa </w:t>
      </w:r>
      <w:r w:rsidR="006B1958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 experiencing a rise in inflation</w:t>
      </w:r>
      <w:r w:rsidR="000F2D5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F30D49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2D5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FE12ED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upply-chain disruptions experienced</w:t>
      </w:r>
      <w:r w:rsidR="00FE079C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2ED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during the </w:t>
      </w:r>
      <w:r w:rsidR="004E66F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COVID-19 </w:t>
      </w:r>
      <w:r w:rsidR="00FE12ED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outbreak, the impact of generous fiscal packages in large economies, and the effect that the war in the Ukraine has had on both the energy and food value-chains</w:t>
      </w:r>
      <w:r w:rsidR="000F2D5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all contribute to inflationary pressures</w:t>
      </w:r>
      <w:r w:rsidR="00FE12ED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A21E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Rising inflation affects the poor in South Africa disproportionately </w:t>
      </w:r>
      <w:r w:rsidR="000F2D5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since </w:t>
      </w:r>
      <w:r w:rsidR="009A21E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food purchases account for a relatively large proportion of these consumers’ monthly expenditure. Consequently, </w:t>
      </w:r>
      <w:r w:rsidR="009A21EA" w:rsidRPr="00B159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the dtic</w:t>
      </w:r>
      <w:r w:rsidR="009A21E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seeks to strike a careful balance when taking policy or programme decisions which support industrialisation and which may have an impact on poor consumers. In some cases, a trade-off is required and the Department considers all relevant factors in </w:t>
      </w:r>
      <w:r w:rsidR="00AC67AF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taking such decisions. </w:t>
      </w:r>
    </w:p>
    <w:p w:rsidR="009C2685" w:rsidRPr="00B159A7" w:rsidRDefault="009C2685" w:rsidP="00B159A7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C62EB" w:rsidRDefault="00AC67AF" w:rsidP="00B159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Industrialisation</w:t>
      </w:r>
      <w:r w:rsidR="000F2D5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increases South Africa’s ability to manufacture a range of products </w:t>
      </w:r>
      <w:r w:rsidR="00A61382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this ability often</w:t>
      </w: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mitigates </w:t>
      </w:r>
      <w:r w:rsidR="002775A4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or reduces </w:t>
      </w: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inflation</w:t>
      </w:r>
      <w:r w:rsidR="002775A4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especially when global prices for a particular product are rising or when international value-chains are disrupted. </w:t>
      </w:r>
      <w:r w:rsidR="00D3781A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dtic responds to this need 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the value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approvals in more than 300 projects approved by the dtic, IDC and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NEF 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amounted to R12</w:t>
      </w:r>
      <w:r w:rsidR="00717D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6 billion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incentives disbursed in the first six months of the financial year.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Projects are located in 23 of the 52 municipalities. 11 of these are from largely rural districts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C62EB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Localisation is driven by the steel industry with contribution from motor vehicle parts, renewable energy components and poultry</w:t>
      </w:r>
      <w:r w:rsidR="008A6617" w:rsidRPr="00B159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17D3F" w:rsidRDefault="00717D3F" w:rsidP="00B159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17D3F" w:rsidRPr="00B159A7" w:rsidRDefault="00717D3F" w:rsidP="00B159A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draw the Honourable Member’s attention to the efforts by both the Minister of Justice and the Minister of Finance, dealing with greylisting.  </w:t>
      </w:r>
    </w:p>
    <w:p w:rsidR="00DC62EB" w:rsidRPr="00B159A7" w:rsidRDefault="00DC62EB" w:rsidP="00B159A7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B36A7" w:rsidRDefault="00BB36A7" w:rsidP="00B159A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A5109" w:rsidRPr="009C2685" w:rsidRDefault="00904138" w:rsidP="0090413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  <w:bookmarkStart w:id="0" w:name="_GoBack"/>
      <w:bookmarkEnd w:id="0"/>
    </w:p>
    <w:sectPr w:rsidR="00EA5109" w:rsidRPr="009C2685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5C" w:rsidRDefault="00D7155C" w:rsidP="006D054B">
      <w:pPr>
        <w:spacing w:after="0" w:line="240" w:lineRule="auto"/>
      </w:pPr>
      <w:r>
        <w:separator/>
      </w:r>
    </w:p>
  </w:endnote>
  <w:endnote w:type="continuationSeparator" w:id="0">
    <w:p w:rsidR="00D7155C" w:rsidRDefault="00D7155C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9671C9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D71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5872CB">
      <w:t>: NA PQ 3890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5C" w:rsidRDefault="00D7155C" w:rsidP="006D054B">
      <w:pPr>
        <w:spacing w:after="0" w:line="240" w:lineRule="auto"/>
      </w:pPr>
      <w:r>
        <w:separator/>
      </w:r>
    </w:p>
  </w:footnote>
  <w:footnote w:type="continuationSeparator" w:id="0">
    <w:p w:rsidR="00D7155C" w:rsidRDefault="00D7155C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9C2685" w:rsidRDefault="009C2685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FE"/>
    <w:multiLevelType w:val="multilevel"/>
    <w:tmpl w:val="31CA84B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9E"/>
    <w:multiLevelType w:val="multilevel"/>
    <w:tmpl w:val="EB9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1DA8"/>
    <w:multiLevelType w:val="multilevel"/>
    <w:tmpl w:val="C2A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C0608"/>
    <w:multiLevelType w:val="multilevel"/>
    <w:tmpl w:val="438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2255C"/>
    <w:multiLevelType w:val="multilevel"/>
    <w:tmpl w:val="D74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74FE0"/>
    <w:multiLevelType w:val="multilevel"/>
    <w:tmpl w:val="0AC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D5EDF"/>
    <w:multiLevelType w:val="multilevel"/>
    <w:tmpl w:val="DCAE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0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1"/>
  </w:num>
  <w:num w:numId="7">
    <w:abstractNumId w:val="6"/>
  </w:num>
  <w:num w:numId="8">
    <w:abstractNumId w:val="25"/>
  </w:num>
  <w:num w:numId="9">
    <w:abstractNumId w:val="19"/>
  </w:num>
  <w:num w:numId="10">
    <w:abstractNumId w:val="1"/>
  </w:num>
  <w:num w:numId="11">
    <w:abstractNumId w:val="15"/>
  </w:num>
  <w:num w:numId="12">
    <w:abstractNumId w:val="21"/>
  </w:num>
  <w:num w:numId="13">
    <w:abstractNumId w:val="29"/>
  </w:num>
  <w:num w:numId="14">
    <w:abstractNumId w:val="13"/>
  </w:num>
  <w:num w:numId="15">
    <w:abstractNumId w:val="4"/>
  </w:num>
  <w:num w:numId="16">
    <w:abstractNumId w:val="14"/>
  </w:num>
  <w:num w:numId="17">
    <w:abstractNumId w:val="23"/>
  </w:num>
  <w:num w:numId="18">
    <w:abstractNumId w:val="17"/>
  </w:num>
  <w:num w:numId="19">
    <w:abstractNumId w:val="22"/>
  </w:num>
  <w:num w:numId="20">
    <w:abstractNumId w:val="2"/>
  </w:num>
  <w:num w:numId="21">
    <w:abstractNumId w:val="27"/>
  </w:num>
  <w:num w:numId="22">
    <w:abstractNumId w:val="12"/>
  </w:num>
  <w:num w:numId="23">
    <w:abstractNumId w:val="16"/>
  </w:num>
  <w:num w:numId="24">
    <w:abstractNumId w:val="9"/>
  </w:num>
  <w:num w:numId="25">
    <w:abstractNumId w:val="11"/>
  </w:num>
  <w:num w:numId="26">
    <w:abstractNumId w:val="5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4"/>
  </w:num>
  <w:num w:numId="31">
    <w:abstractNumId w:val="26"/>
  </w:num>
  <w:num w:numId="32">
    <w:abstractNumId w:val="18"/>
  </w:num>
  <w:num w:numId="33">
    <w:abstractNumId w:val="3"/>
  </w:num>
  <w:num w:numId="34">
    <w:abstractNumId w:val="3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D78"/>
    <w:rsid w:val="0006536D"/>
    <w:rsid w:val="00071E10"/>
    <w:rsid w:val="00085F1C"/>
    <w:rsid w:val="000B0517"/>
    <w:rsid w:val="000B2DB1"/>
    <w:rsid w:val="000C4638"/>
    <w:rsid w:val="000D3BB4"/>
    <w:rsid w:val="000D608B"/>
    <w:rsid w:val="000F2D57"/>
    <w:rsid w:val="0013089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E90"/>
    <w:rsid w:val="001A5983"/>
    <w:rsid w:val="00212F7F"/>
    <w:rsid w:val="00213516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775A4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2503C"/>
    <w:rsid w:val="00332C21"/>
    <w:rsid w:val="00351BDA"/>
    <w:rsid w:val="003632E6"/>
    <w:rsid w:val="00383F6C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84CF4"/>
    <w:rsid w:val="00491C9E"/>
    <w:rsid w:val="00493614"/>
    <w:rsid w:val="004B2BE0"/>
    <w:rsid w:val="004C432F"/>
    <w:rsid w:val="004D0F02"/>
    <w:rsid w:val="004D5356"/>
    <w:rsid w:val="004E2E71"/>
    <w:rsid w:val="004E66FB"/>
    <w:rsid w:val="004F429F"/>
    <w:rsid w:val="004F6E62"/>
    <w:rsid w:val="00507C23"/>
    <w:rsid w:val="0051724E"/>
    <w:rsid w:val="00522CB2"/>
    <w:rsid w:val="00526B52"/>
    <w:rsid w:val="00532838"/>
    <w:rsid w:val="005401FB"/>
    <w:rsid w:val="00546254"/>
    <w:rsid w:val="0054791A"/>
    <w:rsid w:val="005624DD"/>
    <w:rsid w:val="00567F57"/>
    <w:rsid w:val="00572C69"/>
    <w:rsid w:val="00575A3A"/>
    <w:rsid w:val="005872CB"/>
    <w:rsid w:val="00597203"/>
    <w:rsid w:val="005A5FEE"/>
    <w:rsid w:val="005C3727"/>
    <w:rsid w:val="005D3B6A"/>
    <w:rsid w:val="005E30FD"/>
    <w:rsid w:val="00622A03"/>
    <w:rsid w:val="0062683F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B1958"/>
    <w:rsid w:val="006B5805"/>
    <w:rsid w:val="006C6F31"/>
    <w:rsid w:val="006D054B"/>
    <w:rsid w:val="006E1DD6"/>
    <w:rsid w:val="006E5CFB"/>
    <w:rsid w:val="00707C88"/>
    <w:rsid w:val="00717D3F"/>
    <w:rsid w:val="0072078E"/>
    <w:rsid w:val="00744E74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7D3F36"/>
    <w:rsid w:val="008023B2"/>
    <w:rsid w:val="00803209"/>
    <w:rsid w:val="00833E81"/>
    <w:rsid w:val="00841350"/>
    <w:rsid w:val="00850B3D"/>
    <w:rsid w:val="008528EA"/>
    <w:rsid w:val="00853BDC"/>
    <w:rsid w:val="00855ABA"/>
    <w:rsid w:val="008634FA"/>
    <w:rsid w:val="00892467"/>
    <w:rsid w:val="00894F69"/>
    <w:rsid w:val="008A6617"/>
    <w:rsid w:val="008A796E"/>
    <w:rsid w:val="008D06C0"/>
    <w:rsid w:val="00904138"/>
    <w:rsid w:val="00911828"/>
    <w:rsid w:val="00916351"/>
    <w:rsid w:val="009317D7"/>
    <w:rsid w:val="0093226B"/>
    <w:rsid w:val="00936D98"/>
    <w:rsid w:val="009433BE"/>
    <w:rsid w:val="0094388C"/>
    <w:rsid w:val="00962A53"/>
    <w:rsid w:val="009644E4"/>
    <w:rsid w:val="009671C9"/>
    <w:rsid w:val="00970287"/>
    <w:rsid w:val="0099215A"/>
    <w:rsid w:val="009A0FF0"/>
    <w:rsid w:val="009A21EA"/>
    <w:rsid w:val="009C2685"/>
    <w:rsid w:val="009C3E7C"/>
    <w:rsid w:val="009D6756"/>
    <w:rsid w:val="009D6C77"/>
    <w:rsid w:val="009F3102"/>
    <w:rsid w:val="009F4DA1"/>
    <w:rsid w:val="00A01A30"/>
    <w:rsid w:val="00A0607F"/>
    <w:rsid w:val="00A1169C"/>
    <w:rsid w:val="00A16D45"/>
    <w:rsid w:val="00A1795F"/>
    <w:rsid w:val="00A21156"/>
    <w:rsid w:val="00A46E81"/>
    <w:rsid w:val="00A544EE"/>
    <w:rsid w:val="00A557B1"/>
    <w:rsid w:val="00A61382"/>
    <w:rsid w:val="00A63D32"/>
    <w:rsid w:val="00A81AFD"/>
    <w:rsid w:val="00A8329E"/>
    <w:rsid w:val="00A84F6F"/>
    <w:rsid w:val="00A922E1"/>
    <w:rsid w:val="00AB1371"/>
    <w:rsid w:val="00AB27A3"/>
    <w:rsid w:val="00AB6763"/>
    <w:rsid w:val="00AC67AF"/>
    <w:rsid w:val="00AD1369"/>
    <w:rsid w:val="00AD5AE5"/>
    <w:rsid w:val="00AD7FCF"/>
    <w:rsid w:val="00AE418E"/>
    <w:rsid w:val="00AE6F53"/>
    <w:rsid w:val="00AF23A5"/>
    <w:rsid w:val="00AF736F"/>
    <w:rsid w:val="00B04589"/>
    <w:rsid w:val="00B159A7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4BE2"/>
    <w:rsid w:val="00B77AE5"/>
    <w:rsid w:val="00B9157F"/>
    <w:rsid w:val="00BA3106"/>
    <w:rsid w:val="00BA3DD8"/>
    <w:rsid w:val="00BB36A7"/>
    <w:rsid w:val="00BB497F"/>
    <w:rsid w:val="00BB62D5"/>
    <w:rsid w:val="00BC607B"/>
    <w:rsid w:val="00BD2E3D"/>
    <w:rsid w:val="00C02FFC"/>
    <w:rsid w:val="00C0398D"/>
    <w:rsid w:val="00C05717"/>
    <w:rsid w:val="00C0627A"/>
    <w:rsid w:val="00C07922"/>
    <w:rsid w:val="00C1754E"/>
    <w:rsid w:val="00C21F2C"/>
    <w:rsid w:val="00C23C1E"/>
    <w:rsid w:val="00C26949"/>
    <w:rsid w:val="00C32891"/>
    <w:rsid w:val="00C418DC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D31CA5"/>
    <w:rsid w:val="00D3539F"/>
    <w:rsid w:val="00D3781A"/>
    <w:rsid w:val="00D37942"/>
    <w:rsid w:val="00D410C1"/>
    <w:rsid w:val="00D462DD"/>
    <w:rsid w:val="00D52868"/>
    <w:rsid w:val="00D66290"/>
    <w:rsid w:val="00D7155C"/>
    <w:rsid w:val="00D722D0"/>
    <w:rsid w:val="00D75E12"/>
    <w:rsid w:val="00D81223"/>
    <w:rsid w:val="00D906CA"/>
    <w:rsid w:val="00D93514"/>
    <w:rsid w:val="00D93BDC"/>
    <w:rsid w:val="00D95D80"/>
    <w:rsid w:val="00D96075"/>
    <w:rsid w:val="00D97348"/>
    <w:rsid w:val="00DB1D4D"/>
    <w:rsid w:val="00DC62EB"/>
    <w:rsid w:val="00DD063F"/>
    <w:rsid w:val="00DD60A6"/>
    <w:rsid w:val="00DE45A5"/>
    <w:rsid w:val="00DE4BB9"/>
    <w:rsid w:val="00DF566B"/>
    <w:rsid w:val="00E04A1E"/>
    <w:rsid w:val="00E113E7"/>
    <w:rsid w:val="00E44BAD"/>
    <w:rsid w:val="00E554C9"/>
    <w:rsid w:val="00E6096E"/>
    <w:rsid w:val="00E846E6"/>
    <w:rsid w:val="00E900D5"/>
    <w:rsid w:val="00E94795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0D49"/>
    <w:rsid w:val="00F32232"/>
    <w:rsid w:val="00F3392B"/>
    <w:rsid w:val="00F51CB8"/>
    <w:rsid w:val="00F55E3D"/>
    <w:rsid w:val="00F64396"/>
    <w:rsid w:val="00F671DD"/>
    <w:rsid w:val="00F67296"/>
    <w:rsid w:val="00F716B6"/>
    <w:rsid w:val="00F8074E"/>
    <w:rsid w:val="00F9020F"/>
    <w:rsid w:val="00FA285D"/>
    <w:rsid w:val="00FA47C9"/>
    <w:rsid w:val="00FB765E"/>
    <w:rsid w:val="00FB7875"/>
    <w:rsid w:val="00FC3609"/>
    <w:rsid w:val="00FC3A8E"/>
    <w:rsid w:val="00FC502E"/>
    <w:rsid w:val="00FD0332"/>
    <w:rsid w:val="00FD7453"/>
    <w:rsid w:val="00FE079C"/>
    <w:rsid w:val="00FE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D1C5-9CA6-44A5-A2DC-A6C475F3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2022-11-23T09:04:00Z</dcterms:created>
  <dcterms:modified xsi:type="dcterms:W3CDTF">2022-11-23T09:04:00Z</dcterms:modified>
</cp:coreProperties>
</file>