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88" w:rsidRDefault="005E02F6" w:rsidP="00D65E65">
      <w:pPr>
        <w:pStyle w:val="Body1"/>
        <w:spacing w:line="288" w:lineRule="auto"/>
        <w:rPr>
          <w:rFonts w:ascii="Arial" w:hAnsi="Arial"/>
          <w:b/>
          <w:sz w:val="24"/>
        </w:rPr>
      </w:pPr>
      <w:bookmarkStart w:id="0" w:name="_GoBack"/>
      <w:bookmarkEnd w:id="0"/>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-5715</wp:posOffset>
            </wp:positionV>
            <wp:extent cx="1162050" cy="1352550"/>
            <wp:effectExtent l="0" t="0" r="0"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B88" w:rsidRDefault="00BA7B88" w:rsidP="00D65E65">
      <w:pPr>
        <w:pStyle w:val="Body1"/>
        <w:spacing w:line="288" w:lineRule="auto"/>
        <w:rPr>
          <w:rFonts w:ascii="Arial" w:hAnsi="Arial"/>
          <w:sz w:val="24"/>
        </w:rPr>
      </w:pPr>
    </w:p>
    <w:p w:rsidR="00BA7B88" w:rsidRDefault="00BA7B88" w:rsidP="00D65E65">
      <w:pPr>
        <w:pStyle w:val="Body1"/>
        <w:spacing w:line="288" w:lineRule="auto"/>
        <w:rPr>
          <w:rFonts w:ascii="Arial" w:hAnsi="Arial"/>
          <w:sz w:val="24"/>
        </w:rPr>
      </w:pPr>
    </w:p>
    <w:p w:rsidR="00BA7B88" w:rsidRDefault="00BA7B88" w:rsidP="00D65E65">
      <w:pPr>
        <w:pStyle w:val="Body1"/>
        <w:spacing w:line="288" w:lineRule="auto"/>
        <w:jc w:val="center"/>
        <w:rPr>
          <w:rFonts w:ascii="Arial" w:hAnsi="Arial"/>
          <w:b/>
          <w:sz w:val="24"/>
        </w:rPr>
      </w:pPr>
    </w:p>
    <w:p w:rsidR="00BA7B88" w:rsidRDefault="00BA7B88" w:rsidP="00D65E65">
      <w:pPr>
        <w:pStyle w:val="Body1"/>
        <w:spacing w:line="288" w:lineRule="auto"/>
        <w:jc w:val="center"/>
        <w:rPr>
          <w:rFonts w:ascii="Arial" w:hAnsi="Arial"/>
          <w:b/>
          <w:sz w:val="24"/>
        </w:rPr>
      </w:pPr>
    </w:p>
    <w:p w:rsidR="006D7E05" w:rsidRDefault="006D7E05" w:rsidP="00D65E65">
      <w:pPr>
        <w:pStyle w:val="Body1"/>
        <w:spacing w:line="288" w:lineRule="auto"/>
        <w:jc w:val="center"/>
        <w:rPr>
          <w:rFonts w:ascii="Arial" w:hAnsi="Arial Unicode MS"/>
          <w:b/>
          <w:sz w:val="24"/>
        </w:rPr>
      </w:pPr>
    </w:p>
    <w:p w:rsidR="006D7E05" w:rsidRDefault="006D7E05" w:rsidP="00D65E65">
      <w:pPr>
        <w:pStyle w:val="Body1"/>
        <w:spacing w:line="288" w:lineRule="auto"/>
        <w:jc w:val="center"/>
        <w:rPr>
          <w:rFonts w:ascii="Arial" w:hAnsi="Arial Unicode MS"/>
          <w:b/>
          <w:sz w:val="24"/>
        </w:rPr>
      </w:pPr>
    </w:p>
    <w:p w:rsidR="00BA7B88" w:rsidRDefault="0042667A" w:rsidP="00D65E65">
      <w:pPr>
        <w:pStyle w:val="Body1"/>
        <w:spacing w:line="288"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D65E65">
      <w:pPr>
        <w:pStyle w:val="Body1"/>
        <w:spacing w:line="288" w:lineRule="auto"/>
        <w:jc w:val="center"/>
        <w:rPr>
          <w:rFonts w:ascii="Arial" w:hAnsi="Arial"/>
          <w:b/>
          <w:sz w:val="24"/>
        </w:rPr>
      </w:pPr>
      <w:r>
        <w:rPr>
          <w:rFonts w:ascii="Arial" w:hAnsi="Arial Unicode MS"/>
          <w:b/>
          <w:sz w:val="24"/>
        </w:rPr>
        <w:t>REPUBLIC OF SOUTH AFRICA</w:t>
      </w:r>
    </w:p>
    <w:p w:rsidR="00BA7B88" w:rsidRDefault="00BA7B88" w:rsidP="00D65E65">
      <w:pPr>
        <w:pStyle w:val="Body1"/>
        <w:spacing w:line="288" w:lineRule="auto"/>
        <w:jc w:val="center"/>
        <w:rPr>
          <w:rFonts w:ascii="Arial" w:hAnsi="Arial"/>
          <w:b/>
          <w:sz w:val="24"/>
        </w:rPr>
      </w:pPr>
    </w:p>
    <w:p w:rsidR="00BA7B88" w:rsidRDefault="00BA7B88" w:rsidP="00D65E65">
      <w:pPr>
        <w:pStyle w:val="Body1"/>
        <w:spacing w:line="288" w:lineRule="auto"/>
        <w:rPr>
          <w:rFonts w:ascii="Arial" w:hAnsi="Arial"/>
          <w:b/>
          <w:sz w:val="24"/>
        </w:rPr>
      </w:pPr>
    </w:p>
    <w:p w:rsidR="00BA7B88" w:rsidRPr="00F45438" w:rsidRDefault="00BA7B88" w:rsidP="005E02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E02F6">
      <w:pPr>
        <w:pStyle w:val="Body1"/>
        <w:spacing w:line="276" w:lineRule="auto"/>
        <w:jc w:val="center"/>
        <w:rPr>
          <w:rFonts w:ascii="Arial" w:hAnsi="Arial" w:cs="Arial"/>
          <w:b/>
          <w:sz w:val="24"/>
          <w:szCs w:val="24"/>
        </w:rPr>
      </w:pPr>
    </w:p>
    <w:p w:rsidR="00BA7B88" w:rsidRPr="00F45438" w:rsidRDefault="00BA7B88" w:rsidP="005E02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E02F6">
      <w:pPr>
        <w:pStyle w:val="Body1"/>
        <w:spacing w:line="276" w:lineRule="auto"/>
        <w:rPr>
          <w:rFonts w:ascii="Arial" w:hAnsi="Arial" w:cs="Arial"/>
          <w:b/>
          <w:sz w:val="24"/>
          <w:szCs w:val="24"/>
        </w:rPr>
      </w:pPr>
    </w:p>
    <w:p w:rsidR="005E02F6" w:rsidRDefault="00BA7B88" w:rsidP="005E02F6">
      <w:pPr>
        <w:pStyle w:val="Body1"/>
        <w:spacing w:line="276" w:lineRule="auto"/>
        <w:rPr>
          <w:rFonts w:ascii="Arial" w:hAnsi="Arial" w:cs="Arial"/>
          <w:b/>
          <w:sz w:val="24"/>
          <w:szCs w:val="24"/>
        </w:rPr>
      </w:pPr>
      <w:r w:rsidRPr="00D87F5B">
        <w:rPr>
          <w:rFonts w:ascii="Arial" w:hAnsi="Arial" w:cs="Arial"/>
          <w:b/>
          <w:sz w:val="24"/>
          <w:szCs w:val="24"/>
        </w:rPr>
        <w:t xml:space="preserve">QUESTION NO.: </w:t>
      </w:r>
      <w:r w:rsidR="00D87F5B" w:rsidRPr="00D87F5B">
        <w:rPr>
          <w:rFonts w:ascii="Arial" w:hAnsi="Arial" w:cs="Arial"/>
          <w:b/>
          <w:sz w:val="24"/>
          <w:szCs w:val="24"/>
        </w:rPr>
        <w:t>3890</w:t>
      </w:r>
    </w:p>
    <w:p w:rsidR="00BA7B88" w:rsidRPr="00D87F5B" w:rsidRDefault="00A240BD" w:rsidP="005E02F6">
      <w:pPr>
        <w:pStyle w:val="NoSpacing"/>
      </w:pPr>
      <w:r w:rsidRPr="00D87F5B">
        <w:tab/>
      </w:r>
      <w:r w:rsidR="001147C9" w:rsidRPr="00D87F5B">
        <w:tab/>
      </w:r>
      <w:r w:rsidR="005450F6" w:rsidRPr="00D87F5B">
        <w:tab/>
      </w:r>
      <w:r w:rsidR="00DF7F34" w:rsidRPr="00D87F5B">
        <w:tab/>
      </w:r>
    </w:p>
    <w:p w:rsidR="001147C9" w:rsidRDefault="001147C9" w:rsidP="00D65E65">
      <w:pPr>
        <w:spacing w:line="288" w:lineRule="auto"/>
        <w:ind w:left="709" w:hanging="709"/>
        <w:jc w:val="both"/>
        <w:rPr>
          <w:rFonts w:ascii="Arial" w:hAnsi="Arial" w:cs="Arial"/>
          <w:b/>
        </w:rPr>
      </w:pPr>
    </w:p>
    <w:p w:rsidR="00D87F5B" w:rsidRDefault="00D87F5B" w:rsidP="005E02F6">
      <w:pPr>
        <w:spacing w:line="288" w:lineRule="auto"/>
        <w:ind w:left="851" w:hanging="851"/>
        <w:jc w:val="both"/>
        <w:outlineLvl w:val="0"/>
        <w:rPr>
          <w:rFonts w:ascii="Arial" w:hAnsi="Arial" w:cs="Arial"/>
          <w:b/>
        </w:rPr>
      </w:pPr>
      <w:proofErr w:type="spellStart"/>
      <w:r w:rsidRPr="00D87F5B">
        <w:rPr>
          <w:rFonts w:ascii="Arial" w:hAnsi="Arial" w:cs="Arial"/>
          <w:b/>
        </w:rPr>
        <w:t>Ms</w:t>
      </w:r>
      <w:proofErr w:type="spellEnd"/>
      <w:r w:rsidRPr="00D87F5B">
        <w:rPr>
          <w:rFonts w:ascii="Arial" w:hAnsi="Arial" w:cs="Arial"/>
          <w:b/>
        </w:rPr>
        <w:t xml:space="preserve"> </w:t>
      </w:r>
      <w:proofErr w:type="gramStart"/>
      <w:r w:rsidRPr="00D87F5B">
        <w:rPr>
          <w:rFonts w:ascii="Arial" w:hAnsi="Arial" w:cs="Arial"/>
          <w:b/>
        </w:rPr>
        <w:t>A</w:t>
      </w:r>
      <w:proofErr w:type="gramEnd"/>
      <w:r w:rsidRPr="00D87F5B">
        <w:rPr>
          <w:rFonts w:ascii="Arial" w:hAnsi="Arial" w:cs="Arial"/>
          <w:b/>
        </w:rPr>
        <w:t xml:space="preserve"> T </w:t>
      </w:r>
      <w:proofErr w:type="spellStart"/>
      <w:r w:rsidRPr="00D87F5B">
        <w:rPr>
          <w:rFonts w:ascii="Arial" w:hAnsi="Arial" w:cs="Arial"/>
          <w:b/>
          <w:bCs/>
          <w:lang w:val="en-ZA"/>
        </w:rPr>
        <w:t>Lovemore</w:t>
      </w:r>
      <w:proofErr w:type="spellEnd"/>
      <w:r w:rsidRPr="00D87F5B">
        <w:rPr>
          <w:rFonts w:ascii="Arial" w:hAnsi="Arial" w:cs="Arial"/>
          <w:b/>
        </w:rPr>
        <w:t xml:space="preserve"> (DA) to </w:t>
      </w:r>
      <w:r w:rsidRPr="00D87F5B">
        <w:rPr>
          <w:rFonts w:ascii="Arial" w:hAnsi="Arial" w:cs="Arial"/>
          <w:b/>
          <w:lang w:val="en-ZA"/>
        </w:rPr>
        <w:t>ask</w:t>
      </w:r>
      <w:r w:rsidRPr="00D87F5B">
        <w:rPr>
          <w:rFonts w:ascii="Arial" w:hAnsi="Arial" w:cs="Arial"/>
          <w:b/>
        </w:rPr>
        <w:t xml:space="preserve"> the Minister of Public Service and Administration:</w:t>
      </w:r>
    </w:p>
    <w:p w:rsidR="005E02F6" w:rsidRPr="00D87F5B" w:rsidRDefault="005E02F6" w:rsidP="005E02F6">
      <w:pPr>
        <w:spacing w:line="288" w:lineRule="auto"/>
        <w:ind w:left="851" w:hanging="851"/>
        <w:jc w:val="both"/>
        <w:outlineLvl w:val="0"/>
        <w:rPr>
          <w:rFonts w:ascii="Arial" w:hAnsi="Arial" w:cs="Arial"/>
        </w:rPr>
      </w:pPr>
    </w:p>
    <w:p w:rsidR="00D87F5B" w:rsidRDefault="00D87F5B" w:rsidP="005E02F6">
      <w:pPr>
        <w:pStyle w:val="NormalWeb"/>
        <w:spacing w:before="0" w:beforeAutospacing="0" w:after="0" w:afterAutospacing="0" w:line="288" w:lineRule="auto"/>
        <w:ind w:left="720" w:hanging="720"/>
        <w:jc w:val="both"/>
        <w:rPr>
          <w:rFonts w:ascii="Arial" w:hAnsi="Arial" w:cs="Arial"/>
        </w:rPr>
      </w:pPr>
      <w:r w:rsidRPr="00D87F5B">
        <w:rPr>
          <w:rFonts w:ascii="Arial" w:hAnsi="Arial" w:cs="Arial"/>
        </w:rPr>
        <w:t>(1)</w:t>
      </w:r>
      <w:r w:rsidRPr="00D87F5B">
        <w:rPr>
          <w:rFonts w:ascii="Arial" w:hAnsi="Arial" w:cs="Arial"/>
        </w:rPr>
        <w:tab/>
        <w:t xml:space="preserve">What (a) are the details of each of the investigations that the Public Service Commission will complete in the 2015-16 financial year and (b) </w:t>
      </w:r>
      <w:r w:rsidRPr="00D87F5B">
        <w:rPr>
          <w:rFonts w:ascii="Arial" w:hAnsi="Arial" w:cs="Arial"/>
          <w:color w:val="000000"/>
        </w:rPr>
        <w:t>investigations</w:t>
      </w:r>
      <w:r w:rsidRPr="00D87F5B">
        <w:rPr>
          <w:rFonts w:ascii="Arial" w:hAnsi="Arial" w:cs="Arial"/>
        </w:rPr>
        <w:t xml:space="preserve"> are planned for the (</w:t>
      </w:r>
      <w:proofErr w:type="spellStart"/>
      <w:r w:rsidRPr="00D87F5B">
        <w:rPr>
          <w:rFonts w:ascii="Arial" w:hAnsi="Arial" w:cs="Arial"/>
        </w:rPr>
        <w:t>i</w:t>
      </w:r>
      <w:proofErr w:type="spellEnd"/>
      <w:r w:rsidRPr="00D87F5B">
        <w:rPr>
          <w:rFonts w:ascii="Arial" w:hAnsi="Arial" w:cs="Arial"/>
        </w:rPr>
        <w:t>) 2016-17, (ii) 2017-18 and (iii) 2018-19 financial years;</w:t>
      </w:r>
    </w:p>
    <w:p w:rsidR="005E02F6" w:rsidRPr="00D87F5B" w:rsidRDefault="005E02F6" w:rsidP="005E02F6">
      <w:pPr>
        <w:pStyle w:val="NormalWeb"/>
        <w:spacing w:before="0" w:beforeAutospacing="0" w:after="0" w:afterAutospacing="0" w:line="288" w:lineRule="auto"/>
        <w:ind w:left="720" w:hanging="720"/>
        <w:jc w:val="both"/>
        <w:rPr>
          <w:rFonts w:ascii="Arial" w:hAnsi="Arial" w:cs="Arial"/>
        </w:rPr>
      </w:pPr>
    </w:p>
    <w:p w:rsidR="00D87F5B" w:rsidRDefault="00D87F5B" w:rsidP="005E02F6">
      <w:pPr>
        <w:pStyle w:val="NormalWeb"/>
        <w:spacing w:before="0" w:beforeAutospacing="0" w:after="0" w:afterAutospacing="0" w:line="288" w:lineRule="auto"/>
        <w:ind w:left="720" w:hanging="720"/>
        <w:jc w:val="both"/>
        <w:rPr>
          <w:rFonts w:ascii="Arial" w:hAnsi="Arial" w:cs="Arial"/>
        </w:rPr>
      </w:pPr>
      <w:r w:rsidRPr="00D87F5B">
        <w:rPr>
          <w:rFonts w:ascii="Arial" w:hAnsi="Arial" w:cs="Arial"/>
        </w:rPr>
        <w:t>(2)</w:t>
      </w:r>
      <w:r w:rsidRPr="00D87F5B">
        <w:rPr>
          <w:rFonts w:ascii="Arial" w:hAnsi="Arial" w:cs="Arial"/>
        </w:rPr>
        <w:tab/>
      </w:r>
      <w:proofErr w:type="gramStart"/>
      <w:r w:rsidRPr="00D87F5B">
        <w:rPr>
          <w:rFonts w:ascii="Arial" w:hAnsi="Arial" w:cs="Arial"/>
        </w:rPr>
        <w:t>what</w:t>
      </w:r>
      <w:proofErr w:type="gramEnd"/>
      <w:r w:rsidRPr="00D87F5B">
        <w:rPr>
          <w:rFonts w:ascii="Arial" w:hAnsi="Arial" w:cs="Arial"/>
        </w:rPr>
        <w:t xml:space="preserve"> process does the specified commission undertake to develop its schedule of </w:t>
      </w:r>
      <w:r w:rsidRPr="00D87F5B">
        <w:rPr>
          <w:rFonts w:ascii="Arial" w:hAnsi="Arial" w:cs="Arial"/>
          <w:color w:val="000000"/>
        </w:rPr>
        <w:t>investigations</w:t>
      </w:r>
      <w:r w:rsidRPr="00D87F5B">
        <w:rPr>
          <w:rFonts w:ascii="Arial" w:hAnsi="Arial" w:cs="Arial"/>
        </w:rPr>
        <w:t>, in alignment with its constitutional mandate;</w:t>
      </w:r>
    </w:p>
    <w:p w:rsidR="005E02F6" w:rsidRPr="00D87F5B" w:rsidRDefault="005E02F6" w:rsidP="005E02F6">
      <w:pPr>
        <w:pStyle w:val="NormalWeb"/>
        <w:spacing w:before="0" w:beforeAutospacing="0" w:after="0" w:afterAutospacing="0" w:line="288" w:lineRule="auto"/>
        <w:ind w:left="720" w:hanging="720"/>
        <w:jc w:val="both"/>
        <w:rPr>
          <w:rFonts w:ascii="Arial" w:hAnsi="Arial" w:cs="Arial"/>
        </w:rPr>
      </w:pPr>
    </w:p>
    <w:p w:rsidR="00D87F5B" w:rsidRPr="00D87F5B" w:rsidRDefault="00D87F5B" w:rsidP="00BC35A5">
      <w:pPr>
        <w:pStyle w:val="NormalWeb"/>
        <w:spacing w:before="0" w:beforeAutospacing="0" w:after="0" w:afterAutospacing="0" w:line="288" w:lineRule="auto"/>
        <w:ind w:left="720" w:hanging="720"/>
        <w:jc w:val="both"/>
        <w:rPr>
          <w:rFonts w:ascii="Arial" w:hAnsi="Arial" w:cs="Arial"/>
        </w:rPr>
      </w:pPr>
      <w:r w:rsidRPr="00D87F5B">
        <w:rPr>
          <w:rFonts w:ascii="Arial" w:hAnsi="Arial" w:cs="Arial"/>
        </w:rPr>
        <w:t>(3)</w:t>
      </w:r>
      <w:r w:rsidRPr="00D87F5B">
        <w:rPr>
          <w:rFonts w:ascii="Arial" w:hAnsi="Arial" w:cs="Arial"/>
        </w:rPr>
        <w:tab/>
      </w:r>
      <w:proofErr w:type="gramStart"/>
      <w:r w:rsidRPr="00D87F5B">
        <w:rPr>
          <w:rFonts w:ascii="Arial" w:hAnsi="Arial" w:cs="Arial"/>
        </w:rPr>
        <w:t>what</w:t>
      </w:r>
      <w:proofErr w:type="gramEnd"/>
      <w:r w:rsidRPr="00D87F5B">
        <w:rPr>
          <w:rFonts w:ascii="Arial" w:hAnsi="Arial" w:cs="Arial"/>
        </w:rPr>
        <w:t xml:space="preserve"> steps will the specified commission take to ensure that negative findings arising from any of its investigations are appropriately addressed?</w:t>
      </w:r>
      <w:r w:rsidRPr="00D87F5B">
        <w:rPr>
          <w:rFonts w:ascii="Arial" w:hAnsi="Arial" w:cs="Arial"/>
        </w:rPr>
        <w:tab/>
      </w:r>
      <w:r>
        <w:rPr>
          <w:rFonts w:ascii="Arial" w:hAnsi="Arial" w:cs="Arial"/>
        </w:rPr>
        <w:t xml:space="preserve">       </w:t>
      </w:r>
      <w:r w:rsidR="005E02F6">
        <w:rPr>
          <w:rFonts w:ascii="Arial" w:hAnsi="Arial" w:cs="Arial"/>
        </w:rPr>
        <w:t xml:space="preserve">  </w:t>
      </w:r>
      <w:r w:rsidRPr="00D87F5B">
        <w:rPr>
          <w:rFonts w:ascii="Arial" w:hAnsi="Arial" w:cs="Arial"/>
        </w:rPr>
        <w:t>NW4702E</w:t>
      </w:r>
    </w:p>
    <w:p w:rsidR="000E75AD" w:rsidRDefault="000E75AD" w:rsidP="005E02F6">
      <w:pPr>
        <w:tabs>
          <w:tab w:val="left" w:pos="7545"/>
        </w:tabs>
        <w:spacing w:line="288" w:lineRule="auto"/>
        <w:jc w:val="both"/>
        <w:rPr>
          <w:rFonts w:ascii="Arial" w:hAnsi="Arial" w:cs="Arial"/>
          <w:b/>
          <w:lang w:val="en-ZA"/>
        </w:rPr>
      </w:pPr>
    </w:p>
    <w:p w:rsidR="005E02F6" w:rsidRDefault="005E02F6" w:rsidP="005E02F6">
      <w:pPr>
        <w:tabs>
          <w:tab w:val="left" w:pos="7545"/>
        </w:tabs>
        <w:spacing w:line="288" w:lineRule="auto"/>
        <w:jc w:val="both"/>
        <w:rPr>
          <w:rFonts w:ascii="Arial" w:hAnsi="Arial" w:cs="Arial"/>
          <w:b/>
          <w:lang w:val="en-ZA"/>
        </w:rPr>
      </w:pPr>
    </w:p>
    <w:p w:rsidR="00D27283" w:rsidRPr="00F45438" w:rsidRDefault="004B1243" w:rsidP="005E02F6">
      <w:pPr>
        <w:tabs>
          <w:tab w:val="left" w:pos="7545"/>
        </w:tabs>
        <w:spacing w:line="288" w:lineRule="auto"/>
        <w:jc w:val="both"/>
        <w:rPr>
          <w:rFonts w:ascii="Arial" w:hAnsi="Arial" w:cs="Arial"/>
          <w:b/>
          <w:lang w:val="en-ZA"/>
        </w:rPr>
      </w:pPr>
      <w:r w:rsidRPr="00F45438">
        <w:rPr>
          <w:rFonts w:ascii="Arial" w:hAnsi="Arial" w:cs="Arial"/>
          <w:b/>
          <w:lang w:val="en-ZA"/>
        </w:rPr>
        <w:t>REPLY</w:t>
      </w:r>
    </w:p>
    <w:p w:rsidR="000E75AD" w:rsidRPr="00BC35A5" w:rsidRDefault="000E75AD" w:rsidP="005E02F6">
      <w:pPr>
        <w:spacing w:line="288" w:lineRule="auto"/>
        <w:jc w:val="both"/>
        <w:rPr>
          <w:rFonts w:ascii="Arial" w:hAnsi="Arial" w:cs="Arial"/>
          <w:b/>
          <w:bCs/>
          <w:sz w:val="16"/>
          <w:szCs w:val="16"/>
          <w:lang w:val="en-GB"/>
        </w:rPr>
      </w:pPr>
    </w:p>
    <w:p w:rsidR="001E4522" w:rsidRPr="001E4522" w:rsidRDefault="001E4522" w:rsidP="001E4522">
      <w:pPr>
        <w:pStyle w:val="NoSpacing"/>
      </w:pPr>
    </w:p>
    <w:p w:rsidR="001E4522" w:rsidRPr="001E4522" w:rsidRDefault="001E4522" w:rsidP="001E4522">
      <w:pPr>
        <w:tabs>
          <w:tab w:val="left" w:pos="1080"/>
        </w:tabs>
        <w:spacing w:after="200" w:line="288" w:lineRule="auto"/>
        <w:ind w:left="1080" w:hanging="1080"/>
        <w:jc w:val="both"/>
        <w:rPr>
          <w:rFonts w:ascii="Arial" w:hAnsi="Arial" w:cs="Arial"/>
          <w:color w:val="000000"/>
        </w:rPr>
      </w:pPr>
      <w:r w:rsidRPr="001E4522">
        <w:rPr>
          <w:rFonts w:ascii="Arial" w:hAnsi="Arial" w:cs="Arial"/>
          <w:color w:val="000000"/>
        </w:rPr>
        <w:t>(1)(a)</w:t>
      </w:r>
      <w:r w:rsidRPr="001E4522">
        <w:rPr>
          <w:rFonts w:ascii="Arial" w:hAnsi="Arial" w:cs="Arial"/>
          <w:color w:val="000000"/>
        </w:rPr>
        <w:tab/>
        <w:t xml:space="preserve">The PSC’s </w:t>
      </w:r>
      <w:proofErr w:type="spellStart"/>
      <w:r w:rsidRPr="001E4522">
        <w:rPr>
          <w:rFonts w:ascii="Arial" w:hAnsi="Arial" w:cs="Arial"/>
          <w:color w:val="000000"/>
        </w:rPr>
        <w:t>workplan</w:t>
      </w:r>
      <w:proofErr w:type="spellEnd"/>
      <w:r w:rsidRPr="001E4522">
        <w:rPr>
          <w:rFonts w:ascii="Arial" w:hAnsi="Arial" w:cs="Arial"/>
          <w:color w:val="000000"/>
        </w:rPr>
        <w:t xml:space="preserve"> for the 2015-16 financial year contains the following own accord investigations:</w:t>
      </w:r>
    </w:p>
    <w:p w:rsidR="001E4522" w:rsidRPr="001E4522" w:rsidRDefault="001E4522" w:rsidP="001E4522">
      <w:pPr>
        <w:numPr>
          <w:ilvl w:val="0"/>
          <w:numId w:val="9"/>
        </w:numPr>
        <w:spacing w:after="200" w:line="288" w:lineRule="auto"/>
        <w:ind w:left="1440"/>
        <w:jc w:val="both"/>
        <w:rPr>
          <w:rFonts w:ascii="Arial" w:hAnsi="Arial" w:cs="Arial"/>
          <w:color w:val="000000"/>
        </w:rPr>
      </w:pPr>
      <w:r w:rsidRPr="001E4522">
        <w:rPr>
          <w:rFonts w:ascii="Arial" w:hAnsi="Arial" w:cs="Arial"/>
          <w:color w:val="000000"/>
        </w:rPr>
        <w:t>Assess the effective, efficient and economic functioning of the Office of the State Attorney</w:t>
      </w:r>
    </w:p>
    <w:p w:rsidR="001E4522" w:rsidRPr="001E4522" w:rsidRDefault="001E4522" w:rsidP="001E4522">
      <w:pPr>
        <w:numPr>
          <w:ilvl w:val="0"/>
          <w:numId w:val="9"/>
        </w:numPr>
        <w:autoSpaceDE w:val="0"/>
        <w:autoSpaceDN w:val="0"/>
        <w:adjustRightInd w:val="0"/>
        <w:spacing w:after="200" w:line="288" w:lineRule="auto"/>
        <w:ind w:left="1440"/>
        <w:jc w:val="both"/>
        <w:rPr>
          <w:rFonts w:ascii="Arial" w:hAnsi="Arial" w:cs="Arial"/>
          <w:color w:val="000000"/>
          <w:lang w:val="en-ZA" w:eastAsia="en-ZA"/>
        </w:rPr>
      </w:pPr>
      <w:r w:rsidRPr="001E4522">
        <w:rPr>
          <w:rFonts w:ascii="Arial" w:hAnsi="Arial" w:cs="Arial"/>
          <w:color w:val="000000"/>
          <w:lang w:val="en-ZA" w:eastAsia="en-ZA"/>
        </w:rPr>
        <w:t>Assess the effective, efficient and economic functioning of the Office of the Chief State Law Advisor</w:t>
      </w:r>
    </w:p>
    <w:p w:rsidR="001E4522" w:rsidRPr="001E4522" w:rsidRDefault="001E4522" w:rsidP="001E4522">
      <w:pPr>
        <w:numPr>
          <w:ilvl w:val="0"/>
          <w:numId w:val="9"/>
        </w:numPr>
        <w:autoSpaceDE w:val="0"/>
        <w:autoSpaceDN w:val="0"/>
        <w:adjustRightInd w:val="0"/>
        <w:spacing w:after="200" w:line="288" w:lineRule="auto"/>
        <w:ind w:left="1440"/>
        <w:jc w:val="both"/>
        <w:rPr>
          <w:rFonts w:ascii="Arial" w:hAnsi="Arial" w:cs="Arial"/>
          <w:color w:val="000000"/>
          <w:lang w:val="en-ZA" w:eastAsia="en-ZA"/>
        </w:rPr>
      </w:pPr>
      <w:r w:rsidRPr="001E4522">
        <w:rPr>
          <w:rFonts w:ascii="Arial" w:hAnsi="Arial" w:cs="Arial"/>
          <w:color w:val="000000"/>
          <w:lang w:val="en-ZA" w:eastAsia="en-ZA"/>
        </w:rPr>
        <w:lastRenderedPageBreak/>
        <w:t xml:space="preserve">Skills and competency audit of human resource and financial management </w:t>
      </w:r>
      <w:r w:rsidR="00DC19DA">
        <w:rPr>
          <w:rFonts w:ascii="Arial" w:hAnsi="Arial" w:cs="Arial"/>
          <w:color w:val="000000"/>
          <w:lang w:val="en-ZA" w:eastAsia="en-ZA"/>
        </w:rPr>
        <w:t xml:space="preserve">of </w:t>
      </w:r>
      <w:r w:rsidRPr="001E4522">
        <w:rPr>
          <w:rFonts w:ascii="Arial" w:hAnsi="Arial" w:cs="Arial"/>
          <w:color w:val="000000"/>
          <w:lang w:val="en-ZA" w:eastAsia="en-ZA"/>
        </w:rPr>
        <w:t>senior managers in the Western Cape</w:t>
      </w:r>
    </w:p>
    <w:p w:rsidR="001E4522" w:rsidRPr="001E4522" w:rsidRDefault="001E4522" w:rsidP="001E4522">
      <w:pPr>
        <w:numPr>
          <w:ilvl w:val="0"/>
          <w:numId w:val="9"/>
        </w:numPr>
        <w:autoSpaceDE w:val="0"/>
        <w:autoSpaceDN w:val="0"/>
        <w:adjustRightInd w:val="0"/>
        <w:spacing w:after="200" w:line="288" w:lineRule="auto"/>
        <w:ind w:left="1440"/>
        <w:jc w:val="both"/>
        <w:rPr>
          <w:rFonts w:ascii="Arial" w:hAnsi="Arial" w:cs="Arial"/>
          <w:color w:val="000000"/>
          <w:lang w:val="en-ZA" w:eastAsia="en-ZA"/>
        </w:rPr>
      </w:pPr>
      <w:r w:rsidRPr="001E4522">
        <w:rPr>
          <w:rFonts w:ascii="Arial" w:hAnsi="Arial" w:cs="Arial"/>
          <w:color w:val="000000"/>
          <w:lang w:val="en-ZA" w:eastAsia="en-ZA"/>
        </w:rPr>
        <w:t xml:space="preserve">An assessment of the effects of organisational restructuring on service delivery in Gauteng </w:t>
      </w:r>
    </w:p>
    <w:p w:rsidR="001E4522" w:rsidRPr="001E4522" w:rsidRDefault="001E4522" w:rsidP="001E4522">
      <w:pPr>
        <w:numPr>
          <w:ilvl w:val="0"/>
          <w:numId w:val="9"/>
        </w:numPr>
        <w:spacing w:after="200" w:line="288" w:lineRule="auto"/>
        <w:ind w:left="1440"/>
        <w:jc w:val="both"/>
        <w:rPr>
          <w:rFonts w:ascii="Arial" w:hAnsi="Arial" w:cs="Arial"/>
          <w:color w:val="000000"/>
        </w:rPr>
      </w:pPr>
      <w:r w:rsidRPr="001E4522">
        <w:rPr>
          <w:rFonts w:ascii="Arial" w:hAnsi="Arial" w:cs="Arial"/>
          <w:color w:val="000000"/>
        </w:rPr>
        <w:t>An assessment of the management of service terminations and pension payouts in the Public Service</w:t>
      </w:r>
    </w:p>
    <w:p w:rsidR="001E4522" w:rsidRPr="001E4522" w:rsidRDefault="001E4522" w:rsidP="001E4522">
      <w:pPr>
        <w:numPr>
          <w:ilvl w:val="0"/>
          <w:numId w:val="9"/>
        </w:numPr>
        <w:spacing w:after="200" w:line="288" w:lineRule="auto"/>
        <w:ind w:firstLine="0"/>
        <w:jc w:val="both"/>
        <w:rPr>
          <w:rFonts w:ascii="Arial" w:hAnsi="Arial" w:cs="Arial"/>
          <w:color w:val="000000"/>
        </w:rPr>
      </w:pPr>
      <w:r w:rsidRPr="001E4522">
        <w:rPr>
          <w:rFonts w:ascii="Arial" w:hAnsi="Arial" w:cs="Arial"/>
          <w:color w:val="000000"/>
        </w:rPr>
        <w:t>Factsheet on irregular appointments in the Public Service</w:t>
      </w:r>
    </w:p>
    <w:p w:rsidR="001E4522" w:rsidRPr="001E4522" w:rsidRDefault="001E4522" w:rsidP="001E4522">
      <w:pPr>
        <w:numPr>
          <w:ilvl w:val="0"/>
          <w:numId w:val="9"/>
        </w:numPr>
        <w:spacing w:after="200" w:line="288" w:lineRule="auto"/>
        <w:ind w:left="1440"/>
        <w:jc w:val="both"/>
        <w:rPr>
          <w:rFonts w:ascii="Arial" w:hAnsi="Arial" w:cs="Arial"/>
          <w:color w:val="000000"/>
        </w:rPr>
      </w:pPr>
      <w:r w:rsidRPr="001E4522">
        <w:rPr>
          <w:rFonts w:ascii="Arial" w:hAnsi="Arial" w:cs="Arial"/>
          <w:color w:val="000000"/>
        </w:rPr>
        <w:t>Audit on the recruitment and selection processes in the Gauteng Department of Finance</w:t>
      </w:r>
    </w:p>
    <w:p w:rsidR="001E4522" w:rsidRPr="001E4522" w:rsidRDefault="001E4522" w:rsidP="001E4522">
      <w:pPr>
        <w:numPr>
          <w:ilvl w:val="0"/>
          <w:numId w:val="9"/>
        </w:numPr>
        <w:spacing w:after="200" w:line="288" w:lineRule="auto"/>
        <w:ind w:firstLine="0"/>
        <w:jc w:val="both"/>
        <w:rPr>
          <w:rFonts w:ascii="Arial" w:hAnsi="Arial" w:cs="Arial"/>
          <w:color w:val="000000"/>
        </w:rPr>
      </w:pPr>
      <w:r w:rsidRPr="001E4522">
        <w:rPr>
          <w:rFonts w:ascii="Arial" w:hAnsi="Arial" w:cs="Arial"/>
          <w:color w:val="000000"/>
        </w:rPr>
        <w:t>An assessment of the handling of disciplinary cases in the Public Service</w:t>
      </w:r>
    </w:p>
    <w:p w:rsidR="001E4522" w:rsidRPr="001E4522" w:rsidRDefault="001E4522" w:rsidP="001E4522">
      <w:pPr>
        <w:numPr>
          <w:ilvl w:val="0"/>
          <w:numId w:val="9"/>
        </w:numPr>
        <w:spacing w:after="200" w:line="288" w:lineRule="auto"/>
        <w:ind w:left="1440"/>
        <w:jc w:val="both"/>
        <w:rPr>
          <w:rFonts w:ascii="Arial" w:hAnsi="Arial" w:cs="Arial"/>
          <w:color w:val="000000"/>
        </w:rPr>
      </w:pPr>
      <w:r w:rsidRPr="001E4522">
        <w:rPr>
          <w:rFonts w:ascii="Arial" w:hAnsi="Arial" w:cs="Arial"/>
          <w:color w:val="000000"/>
        </w:rPr>
        <w:t>Report on the nature and extent of the protection of whistleblowers and investigators in the Public Service</w:t>
      </w:r>
    </w:p>
    <w:p w:rsidR="001E4522" w:rsidRPr="001E4522" w:rsidRDefault="001E4522" w:rsidP="001E4522">
      <w:pPr>
        <w:numPr>
          <w:ilvl w:val="0"/>
          <w:numId w:val="9"/>
        </w:numPr>
        <w:tabs>
          <w:tab w:val="left" w:pos="709"/>
        </w:tabs>
        <w:spacing w:after="200" w:line="288" w:lineRule="auto"/>
        <w:ind w:left="1440"/>
        <w:jc w:val="both"/>
        <w:rPr>
          <w:rFonts w:ascii="Arial" w:hAnsi="Arial" w:cs="Arial"/>
          <w:color w:val="000000"/>
        </w:rPr>
      </w:pPr>
      <w:r w:rsidRPr="001E4522">
        <w:rPr>
          <w:rFonts w:ascii="Arial" w:hAnsi="Arial" w:cs="Arial"/>
          <w:color w:val="000000"/>
        </w:rPr>
        <w:t xml:space="preserve">Awarding of higher salaries on appointment and counteroffers in the National Departments of Transport and </w:t>
      </w:r>
      <w:proofErr w:type="spellStart"/>
      <w:r w:rsidRPr="001E4522">
        <w:rPr>
          <w:rFonts w:ascii="Arial" w:hAnsi="Arial" w:cs="Arial"/>
          <w:color w:val="000000"/>
        </w:rPr>
        <w:t>Labour</w:t>
      </w:r>
      <w:proofErr w:type="spellEnd"/>
    </w:p>
    <w:p w:rsidR="001E4522" w:rsidRPr="001E4522" w:rsidRDefault="001E4522" w:rsidP="001E4522">
      <w:pPr>
        <w:pStyle w:val="NoSpacing"/>
      </w:pPr>
    </w:p>
    <w:p w:rsidR="001E4522" w:rsidRPr="001E4522" w:rsidRDefault="001E4522" w:rsidP="001E4522">
      <w:pPr>
        <w:spacing w:after="200" w:line="276" w:lineRule="auto"/>
        <w:ind w:left="1080"/>
        <w:jc w:val="both"/>
        <w:rPr>
          <w:rFonts w:ascii="Arial" w:hAnsi="Arial" w:cs="Arial"/>
          <w:color w:val="000000"/>
        </w:rPr>
      </w:pPr>
      <w:r w:rsidRPr="001E4522">
        <w:rPr>
          <w:rFonts w:ascii="Arial" w:hAnsi="Arial" w:cs="Arial"/>
          <w:color w:val="000000"/>
        </w:rPr>
        <w:t xml:space="preserve">The completion date of “investigations conducted </w:t>
      </w:r>
      <w:r w:rsidRPr="001E4522">
        <w:rPr>
          <w:rFonts w:ascii="Arial" w:hAnsi="Arial" w:cs="Arial"/>
          <w:b/>
          <w:color w:val="000000"/>
        </w:rPr>
        <w:t>on receipt of any complaint</w:t>
      </w:r>
      <w:r w:rsidRPr="001E4522">
        <w:rPr>
          <w:rFonts w:ascii="Arial" w:hAnsi="Arial" w:cs="Arial"/>
          <w:color w:val="000000"/>
        </w:rPr>
        <w:t xml:space="preserve"> lodged with the PSC”, is dependent on a number of factors including the time when the complaint is lodged, the number of allegations contained therein and the complexity of the investigations. The PSC aims to finalize investigations of the complaints lodged with it within ninety (90) days after the receipt of all necessary documentation.</w:t>
      </w:r>
    </w:p>
    <w:p w:rsidR="001E4522" w:rsidRDefault="001E4522" w:rsidP="005E02F6">
      <w:pPr>
        <w:tabs>
          <w:tab w:val="left" w:pos="284"/>
        </w:tabs>
        <w:spacing w:line="288" w:lineRule="auto"/>
        <w:ind w:left="851" w:hanging="851"/>
        <w:jc w:val="both"/>
        <w:rPr>
          <w:rFonts w:ascii="Arial" w:hAnsi="Arial" w:cs="Arial"/>
          <w:color w:val="000000"/>
        </w:rPr>
      </w:pPr>
    </w:p>
    <w:p w:rsidR="007F7C4D" w:rsidRPr="007570E9" w:rsidRDefault="00A3039F" w:rsidP="007F7C4D">
      <w:pPr>
        <w:tabs>
          <w:tab w:val="left" w:pos="284"/>
        </w:tabs>
        <w:spacing w:line="288" w:lineRule="auto"/>
        <w:ind w:left="1080" w:hanging="1080"/>
        <w:jc w:val="both"/>
        <w:rPr>
          <w:rFonts w:ascii="Arial" w:hAnsi="Arial" w:cs="Arial"/>
          <w:color w:val="000000"/>
        </w:rPr>
      </w:pPr>
      <w:r w:rsidRPr="00DC7D53">
        <w:rPr>
          <w:rFonts w:ascii="Arial" w:hAnsi="Arial" w:cs="Arial"/>
          <w:color w:val="000000"/>
        </w:rPr>
        <w:t xml:space="preserve">(1)(b) </w:t>
      </w:r>
      <w:r w:rsidR="00505112">
        <w:rPr>
          <w:rFonts w:ascii="Arial" w:hAnsi="Arial" w:cs="Arial"/>
          <w:color w:val="000000"/>
        </w:rPr>
        <w:tab/>
      </w:r>
      <w:r w:rsidR="007F7C4D">
        <w:rPr>
          <w:rFonts w:ascii="Arial" w:hAnsi="Arial" w:cs="Arial"/>
          <w:color w:val="000000"/>
        </w:rPr>
        <w:t>Investigations</w:t>
      </w:r>
      <w:r w:rsidR="00505112">
        <w:rPr>
          <w:rFonts w:ascii="Arial" w:hAnsi="Arial" w:cs="Arial"/>
          <w:color w:val="000000"/>
        </w:rPr>
        <w:t xml:space="preserve"> </w:t>
      </w:r>
      <w:r w:rsidR="00C978BB">
        <w:rPr>
          <w:rFonts w:ascii="Arial" w:hAnsi="Arial" w:cs="Arial"/>
          <w:color w:val="000000"/>
        </w:rPr>
        <w:t xml:space="preserve">to be conducted in </w:t>
      </w:r>
      <w:r w:rsidR="00505112">
        <w:rPr>
          <w:rFonts w:ascii="Arial" w:hAnsi="Arial" w:cs="Arial"/>
          <w:color w:val="000000"/>
        </w:rPr>
        <w:t xml:space="preserve">the ensuing year are </w:t>
      </w:r>
      <w:r w:rsidR="00505112" w:rsidRPr="00505112">
        <w:rPr>
          <w:rFonts w:ascii="Arial" w:hAnsi="Arial" w:cs="Arial"/>
          <w:color w:val="000000"/>
        </w:rPr>
        <w:t>determined annually at the Public Servi</w:t>
      </w:r>
      <w:r w:rsidR="00505112">
        <w:rPr>
          <w:rFonts w:ascii="Arial" w:hAnsi="Arial" w:cs="Arial"/>
          <w:color w:val="000000"/>
        </w:rPr>
        <w:t>ce Commiss</w:t>
      </w:r>
      <w:r w:rsidR="007F7C4D">
        <w:rPr>
          <w:rFonts w:ascii="Arial" w:hAnsi="Arial" w:cs="Arial"/>
          <w:color w:val="000000"/>
        </w:rPr>
        <w:t>ion Strategic Planning Ses</w:t>
      </w:r>
      <w:r w:rsidR="00C978BB">
        <w:rPr>
          <w:rFonts w:ascii="Arial" w:hAnsi="Arial" w:cs="Arial"/>
          <w:color w:val="000000"/>
        </w:rPr>
        <w:t>sion and compilation of a list of these investigations</w:t>
      </w:r>
      <w:r w:rsidR="007F7C4D">
        <w:rPr>
          <w:rFonts w:ascii="Arial" w:hAnsi="Arial" w:cs="Arial"/>
          <w:color w:val="000000"/>
        </w:rPr>
        <w:t xml:space="preserve"> </w:t>
      </w:r>
      <w:r w:rsidR="00C978BB">
        <w:rPr>
          <w:rFonts w:ascii="Arial" w:hAnsi="Arial" w:cs="Arial"/>
          <w:color w:val="000000"/>
        </w:rPr>
        <w:t>is</w:t>
      </w:r>
      <w:r w:rsidR="007F7C4D">
        <w:rPr>
          <w:rFonts w:ascii="Arial" w:hAnsi="Arial" w:cs="Arial"/>
          <w:color w:val="000000"/>
        </w:rPr>
        <w:t xml:space="preserve"> still a work in progress.  </w:t>
      </w:r>
    </w:p>
    <w:p w:rsidR="00DC19DA" w:rsidRDefault="00DC19DA" w:rsidP="001E4522">
      <w:pPr>
        <w:tabs>
          <w:tab w:val="left" w:pos="284"/>
        </w:tabs>
        <w:spacing w:line="288" w:lineRule="auto"/>
        <w:ind w:left="1080" w:hanging="1080"/>
        <w:jc w:val="both"/>
        <w:rPr>
          <w:rFonts w:ascii="Arial" w:hAnsi="Arial" w:cs="Arial"/>
          <w:color w:val="000000"/>
        </w:rPr>
      </w:pPr>
    </w:p>
    <w:p w:rsidR="007570E9" w:rsidRPr="007570E9" w:rsidRDefault="00A3039F" w:rsidP="00BC35A5">
      <w:pPr>
        <w:tabs>
          <w:tab w:val="left" w:pos="284"/>
        </w:tabs>
        <w:spacing w:line="288" w:lineRule="auto"/>
        <w:ind w:left="1080" w:hanging="1080"/>
        <w:jc w:val="both"/>
        <w:rPr>
          <w:rFonts w:ascii="Arial" w:hAnsi="Arial" w:cs="Arial"/>
          <w:color w:val="000000"/>
        </w:rPr>
      </w:pPr>
      <w:r w:rsidRPr="00DC7D53">
        <w:rPr>
          <w:rFonts w:ascii="Arial" w:hAnsi="Arial" w:cs="Arial"/>
          <w:color w:val="000000"/>
        </w:rPr>
        <w:t xml:space="preserve">(2) </w:t>
      </w:r>
      <w:r w:rsidR="003E7B8A" w:rsidRPr="00DC7D53">
        <w:rPr>
          <w:rFonts w:ascii="Arial" w:hAnsi="Arial" w:cs="Arial"/>
          <w:color w:val="000000"/>
        </w:rPr>
        <w:tab/>
      </w:r>
      <w:r w:rsidR="00DC19DA">
        <w:rPr>
          <w:rFonts w:ascii="Arial" w:hAnsi="Arial" w:cs="Arial"/>
          <w:color w:val="000000"/>
        </w:rPr>
        <w:t xml:space="preserve">The </w:t>
      </w:r>
      <w:r w:rsidR="00001241">
        <w:rPr>
          <w:rFonts w:ascii="Arial" w:hAnsi="Arial" w:cs="Arial"/>
          <w:color w:val="000000"/>
        </w:rPr>
        <w:t xml:space="preserve">process to </w:t>
      </w:r>
      <w:r w:rsidR="00001241">
        <w:rPr>
          <w:rFonts w:ascii="Arial" w:hAnsi="Arial" w:cs="Arial"/>
        </w:rPr>
        <w:t xml:space="preserve">develop </w:t>
      </w:r>
      <w:r w:rsidR="00DC19DA">
        <w:rPr>
          <w:rFonts w:ascii="Arial" w:hAnsi="Arial" w:cs="Arial"/>
        </w:rPr>
        <w:t xml:space="preserve">a </w:t>
      </w:r>
      <w:r w:rsidR="00001241" w:rsidRPr="00D87F5B">
        <w:rPr>
          <w:rFonts w:ascii="Arial" w:hAnsi="Arial" w:cs="Arial"/>
        </w:rPr>
        <w:t xml:space="preserve">schedule of </w:t>
      </w:r>
      <w:r w:rsidR="00001241" w:rsidRPr="00D87F5B">
        <w:rPr>
          <w:rFonts w:ascii="Arial" w:hAnsi="Arial" w:cs="Arial"/>
          <w:color w:val="000000"/>
        </w:rPr>
        <w:t>investigations</w:t>
      </w:r>
      <w:r w:rsidR="00001241">
        <w:rPr>
          <w:rFonts w:ascii="Arial" w:hAnsi="Arial" w:cs="Arial"/>
          <w:color w:val="000000"/>
        </w:rPr>
        <w:t xml:space="preserve"> is informed</w:t>
      </w:r>
      <w:r w:rsidR="00BC35A5">
        <w:rPr>
          <w:rFonts w:ascii="Arial" w:hAnsi="Arial" w:cs="Arial"/>
          <w:color w:val="000000"/>
        </w:rPr>
        <w:t>,</w:t>
      </w:r>
      <w:r w:rsidR="00001241">
        <w:rPr>
          <w:rFonts w:ascii="Arial" w:hAnsi="Arial" w:cs="Arial"/>
          <w:color w:val="000000"/>
        </w:rPr>
        <w:t xml:space="preserve"> </w:t>
      </w:r>
      <w:r w:rsidR="007570E9">
        <w:rPr>
          <w:rFonts w:ascii="Arial" w:hAnsi="Arial" w:cs="Arial"/>
          <w:color w:val="000000"/>
        </w:rPr>
        <w:t xml:space="preserve">amongst others </w:t>
      </w:r>
      <w:r w:rsidR="00001241">
        <w:rPr>
          <w:rFonts w:ascii="Arial" w:hAnsi="Arial" w:cs="Arial"/>
          <w:color w:val="000000"/>
        </w:rPr>
        <w:t>by the Public Service Commission</w:t>
      </w:r>
      <w:r w:rsidR="00BC35A5">
        <w:rPr>
          <w:rFonts w:ascii="Arial" w:hAnsi="Arial" w:cs="Arial"/>
          <w:color w:val="000000"/>
        </w:rPr>
        <w:t>’s</w:t>
      </w:r>
      <w:r w:rsidR="00001241">
        <w:rPr>
          <w:rFonts w:ascii="Arial" w:hAnsi="Arial" w:cs="Arial"/>
          <w:color w:val="000000"/>
        </w:rPr>
        <w:t xml:space="preserve"> (</w:t>
      </w:r>
      <w:proofErr w:type="spellStart"/>
      <w:r w:rsidR="00001241">
        <w:rPr>
          <w:rFonts w:ascii="Arial" w:hAnsi="Arial" w:cs="Arial"/>
          <w:color w:val="000000"/>
        </w:rPr>
        <w:t>i</w:t>
      </w:r>
      <w:proofErr w:type="spellEnd"/>
      <w:r w:rsidR="00001241">
        <w:rPr>
          <w:rFonts w:ascii="Arial" w:hAnsi="Arial" w:cs="Arial"/>
          <w:color w:val="000000"/>
        </w:rPr>
        <w:t>) legal mandate, (ii) vision and mission, (iii) strategic objectives,</w:t>
      </w:r>
      <w:r w:rsidR="007570E9">
        <w:rPr>
          <w:rFonts w:ascii="Arial" w:hAnsi="Arial" w:cs="Arial"/>
          <w:color w:val="000000"/>
        </w:rPr>
        <w:t xml:space="preserve"> </w:t>
      </w:r>
      <w:r w:rsidR="00BC35A5">
        <w:rPr>
          <w:rFonts w:ascii="Arial" w:hAnsi="Arial" w:cs="Arial"/>
          <w:color w:val="000000"/>
        </w:rPr>
        <w:t>and include</w:t>
      </w:r>
      <w:r w:rsidR="007570E9">
        <w:rPr>
          <w:rFonts w:ascii="Arial" w:hAnsi="Arial" w:cs="Arial"/>
          <w:color w:val="000000"/>
        </w:rPr>
        <w:t xml:space="preserve"> compilation of</w:t>
      </w:r>
      <w:r w:rsidR="00BC35A5">
        <w:rPr>
          <w:rFonts w:ascii="Arial" w:hAnsi="Arial" w:cs="Arial"/>
          <w:color w:val="000000"/>
        </w:rPr>
        <w:t xml:space="preserve"> </w:t>
      </w:r>
      <w:proofErr w:type="spellStart"/>
      <w:r w:rsidR="00BC35A5">
        <w:rPr>
          <w:rFonts w:ascii="Arial" w:hAnsi="Arial" w:cs="Arial"/>
          <w:color w:val="000000"/>
        </w:rPr>
        <w:t>W</w:t>
      </w:r>
      <w:r w:rsidR="007570E9">
        <w:rPr>
          <w:rFonts w:ascii="Arial" w:hAnsi="Arial" w:cs="Arial"/>
          <w:color w:val="000000"/>
        </w:rPr>
        <w:t>orkplans</w:t>
      </w:r>
      <w:proofErr w:type="spellEnd"/>
      <w:r w:rsidR="007570E9">
        <w:rPr>
          <w:rFonts w:ascii="Arial" w:hAnsi="Arial" w:cs="Arial"/>
          <w:color w:val="000000"/>
        </w:rPr>
        <w:t xml:space="preserve"> from the </w:t>
      </w:r>
      <w:r w:rsidR="007570E9" w:rsidRPr="001E4522">
        <w:rPr>
          <w:rFonts w:ascii="Arial" w:hAnsi="Arial" w:cs="Arial"/>
          <w:color w:val="000000"/>
        </w:rPr>
        <w:t>trends on the nature of complaints received, previous research conducted and</w:t>
      </w:r>
      <w:r w:rsidR="007570E9">
        <w:rPr>
          <w:rFonts w:ascii="Arial" w:hAnsi="Arial" w:cs="Arial"/>
          <w:color w:val="000000"/>
        </w:rPr>
        <w:t xml:space="preserve"> an e</w:t>
      </w:r>
      <w:r w:rsidR="00BC35A5">
        <w:rPr>
          <w:rFonts w:ascii="Arial" w:hAnsi="Arial" w:cs="Arial"/>
          <w:color w:val="000000"/>
        </w:rPr>
        <w:t xml:space="preserve">xternal environmental scan, this </w:t>
      </w:r>
      <w:proofErr w:type="spellStart"/>
      <w:r w:rsidR="00BC35A5">
        <w:rPr>
          <w:rFonts w:ascii="Arial" w:hAnsi="Arial" w:cs="Arial"/>
          <w:color w:val="000000"/>
        </w:rPr>
        <w:t>Workplan</w:t>
      </w:r>
      <w:proofErr w:type="spellEnd"/>
      <w:r w:rsidR="00BC35A5">
        <w:rPr>
          <w:rFonts w:ascii="Arial" w:hAnsi="Arial" w:cs="Arial"/>
          <w:color w:val="000000"/>
        </w:rPr>
        <w:t xml:space="preserve"> is presented annually at the Public Commission S</w:t>
      </w:r>
      <w:r w:rsidR="007570E9" w:rsidRPr="007570E9">
        <w:rPr>
          <w:rFonts w:ascii="Arial" w:hAnsi="Arial" w:cs="Arial"/>
          <w:color w:val="000000"/>
        </w:rPr>
        <w:t>t</w:t>
      </w:r>
      <w:r w:rsidR="00BC35A5">
        <w:rPr>
          <w:rFonts w:ascii="Arial" w:hAnsi="Arial" w:cs="Arial"/>
          <w:color w:val="000000"/>
        </w:rPr>
        <w:t>rategic Session for consideration and adoption. Furthermore, the Public Service Commission Annual Performance Plan are tabled in Parliament annually</w:t>
      </w:r>
    </w:p>
    <w:p w:rsidR="007570E9" w:rsidRPr="001E4522" w:rsidRDefault="007570E9" w:rsidP="007570E9">
      <w:pPr>
        <w:spacing w:after="200" w:line="288" w:lineRule="auto"/>
        <w:ind w:left="1080" w:hanging="1080"/>
        <w:jc w:val="both"/>
        <w:rPr>
          <w:rFonts w:ascii="Arial" w:hAnsi="Arial" w:cs="Arial"/>
          <w:color w:val="000000"/>
        </w:rPr>
      </w:pPr>
    </w:p>
    <w:p w:rsidR="00A3039F" w:rsidRPr="00DC7D53" w:rsidRDefault="00001241" w:rsidP="00BC35A5">
      <w:pPr>
        <w:tabs>
          <w:tab w:val="left" w:pos="1080"/>
        </w:tabs>
        <w:spacing w:line="288" w:lineRule="auto"/>
        <w:ind w:left="1080" w:hanging="1080"/>
        <w:jc w:val="both"/>
        <w:rPr>
          <w:rFonts w:ascii="Arial" w:hAnsi="Arial" w:cs="Arial"/>
          <w:color w:val="000000"/>
        </w:rPr>
      </w:pPr>
      <w:r>
        <w:rPr>
          <w:rFonts w:ascii="Arial" w:hAnsi="Arial" w:cs="Arial"/>
          <w:color w:val="000000"/>
        </w:rPr>
        <w:lastRenderedPageBreak/>
        <w:t xml:space="preserve">  </w:t>
      </w:r>
      <w:r w:rsidR="00A3039F" w:rsidRPr="00DC7D53">
        <w:rPr>
          <w:rFonts w:ascii="Arial" w:hAnsi="Arial" w:cs="Arial"/>
          <w:color w:val="000000"/>
        </w:rPr>
        <w:t xml:space="preserve">(3) </w:t>
      </w:r>
      <w:r w:rsidR="003E7B8A" w:rsidRPr="00DC7D53">
        <w:rPr>
          <w:rFonts w:ascii="Arial" w:hAnsi="Arial" w:cs="Arial"/>
          <w:color w:val="000000"/>
        </w:rPr>
        <w:tab/>
      </w:r>
      <w:r w:rsidR="00BC35A5">
        <w:rPr>
          <w:rFonts w:ascii="Arial" w:hAnsi="Arial" w:cs="Arial"/>
          <w:color w:val="000000"/>
        </w:rPr>
        <w:t xml:space="preserve">Upon finalization of </w:t>
      </w:r>
      <w:r w:rsidR="00A3039F" w:rsidRPr="00DC7D53">
        <w:rPr>
          <w:rFonts w:ascii="Arial" w:hAnsi="Arial" w:cs="Arial"/>
          <w:color w:val="000000"/>
        </w:rPr>
        <w:t xml:space="preserve">investigation, a provisional report with findings is forwarded to the relevant </w:t>
      </w:r>
      <w:r w:rsidR="00D20020">
        <w:rPr>
          <w:rFonts w:ascii="Arial" w:hAnsi="Arial" w:cs="Arial"/>
          <w:color w:val="000000"/>
        </w:rPr>
        <w:t>executive authority</w:t>
      </w:r>
      <w:r w:rsidR="00C978BB">
        <w:rPr>
          <w:rFonts w:ascii="Arial" w:hAnsi="Arial" w:cs="Arial"/>
          <w:color w:val="000000"/>
        </w:rPr>
        <w:t xml:space="preserve"> for comment, and s</w:t>
      </w:r>
      <w:r w:rsidR="00A3039F" w:rsidRPr="00DC7D53">
        <w:rPr>
          <w:rFonts w:ascii="Arial" w:hAnsi="Arial" w:cs="Arial"/>
          <w:color w:val="000000"/>
        </w:rPr>
        <w:t xml:space="preserve">hould </w:t>
      </w:r>
      <w:r w:rsidR="00D20020">
        <w:rPr>
          <w:rFonts w:ascii="Arial" w:hAnsi="Arial" w:cs="Arial"/>
          <w:color w:val="000000"/>
        </w:rPr>
        <w:t xml:space="preserve">comments be </w:t>
      </w:r>
      <w:r w:rsidR="00A3039F" w:rsidRPr="00DC7D53">
        <w:rPr>
          <w:rFonts w:ascii="Arial" w:hAnsi="Arial" w:cs="Arial"/>
          <w:color w:val="000000"/>
        </w:rPr>
        <w:t>provide</w:t>
      </w:r>
      <w:r w:rsidR="00D20020">
        <w:rPr>
          <w:rFonts w:ascii="Arial" w:hAnsi="Arial" w:cs="Arial"/>
          <w:color w:val="000000"/>
        </w:rPr>
        <w:t>d</w:t>
      </w:r>
      <w:r w:rsidR="0073438D" w:rsidRPr="00DC7D53">
        <w:rPr>
          <w:rFonts w:ascii="Arial" w:hAnsi="Arial" w:cs="Arial"/>
          <w:color w:val="000000"/>
        </w:rPr>
        <w:t>,</w:t>
      </w:r>
      <w:r w:rsidR="00A3039F" w:rsidRPr="00DC7D53">
        <w:rPr>
          <w:rFonts w:ascii="Arial" w:hAnsi="Arial" w:cs="Arial"/>
          <w:color w:val="000000"/>
        </w:rPr>
        <w:t xml:space="preserve"> these co</w:t>
      </w:r>
      <w:r w:rsidR="00C978BB">
        <w:rPr>
          <w:rFonts w:ascii="Arial" w:hAnsi="Arial" w:cs="Arial"/>
          <w:color w:val="000000"/>
        </w:rPr>
        <w:t>mments are considered by the Public Service Commission</w:t>
      </w:r>
      <w:r w:rsidR="00A3039F" w:rsidRPr="00DC7D53">
        <w:rPr>
          <w:rFonts w:ascii="Arial" w:hAnsi="Arial" w:cs="Arial"/>
          <w:color w:val="000000"/>
        </w:rPr>
        <w:t xml:space="preserve"> in the issuance of a final report with recommendations. The </w:t>
      </w:r>
      <w:r w:rsidR="00D20020">
        <w:rPr>
          <w:rFonts w:ascii="Arial" w:hAnsi="Arial" w:cs="Arial"/>
          <w:color w:val="000000"/>
        </w:rPr>
        <w:t>executive authority</w:t>
      </w:r>
      <w:r w:rsidR="00A3039F" w:rsidRPr="00DC7D53">
        <w:rPr>
          <w:rFonts w:ascii="Arial" w:hAnsi="Arial" w:cs="Arial"/>
          <w:color w:val="000000"/>
        </w:rPr>
        <w:t xml:space="preserve"> is requested to indic</w:t>
      </w:r>
      <w:r w:rsidR="00C978BB">
        <w:rPr>
          <w:rFonts w:ascii="Arial" w:hAnsi="Arial" w:cs="Arial"/>
          <w:color w:val="000000"/>
        </w:rPr>
        <w:t>ate whether it accepts the Public Service Commission</w:t>
      </w:r>
      <w:r w:rsidR="00A3039F" w:rsidRPr="00DC7D53">
        <w:rPr>
          <w:rFonts w:ascii="Arial" w:hAnsi="Arial" w:cs="Arial"/>
          <w:color w:val="000000"/>
        </w:rPr>
        <w:t xml:space="preserve"> recommendations or not.</w:t>
      </w:r>
      <w:r w:rsidR="008C014A" w:rsidRPr="00DC7D53">
        <w:rPr>
          <w:rFonts w:ascii="Arial" w:hAnsi="Arial" w:cs="Arial"/>
          <w:color w:val="000000"/>
        </w:rPr>
        <w:t xml:space="preserve">  </w:t>
      </w:r>
      <w:r w:rsidR="00A3039F" w:rsidRPr="00DC7D53">
        <w:rPr>
          <w:rFonts w:ascii="Arial" w:hAnsi="Arial" w:cs="Arial"/>
          <w:color w:val="000000"/>
        </w:rPr>
        <w:t xml:space="preserve">In instances where the recommendations are not accepted, the </w:t>
      </w:r>
      <w:r w:rsidR="00D20020">
        <w:rPr>
          <w:rFonts w:ascii="Arial" w:hAnsi="Arial" w:cs="Arial"/>
          <w:color w:val="000000"/>
        </w:rPr>
        <w:t>executive authority</w:t>
      </w:r>
      <w:r w:rsidR="00D20020" w:rsidRPr="00DC7D53">
        <w:rPr>
          <w:rFonts w:ascii="Arial" w:hAnsi="Arial" w:cs="Arial"/>
          <w:color w:val="000000"/>
        </w:rPr>
        <w:t xml:space="preserve"> </w:t>
      </w:r>
      <w:r w:rsidR="00A3039F" w:rsidRPr="00DC7D53">
        <w:rPr>
          <w:rFonts w:ascii="Arial" w:hAnsi="Arial" w:cs="Arial"/>
          <w:color w:val="000000"/>
        </w:rPr>
        <w:t>should indicate reasons for not accepting the recommendations.  T</w:t>
      </w:r>
      <w:r w:rsidR="00C978BB">
        <w:rPr>
          <w:rFonts w:ascii="Arial" w:hAnsi="Arial" w:cs="Arial"/>
          <w:color w:val="000000"/>
        </w:rPr>
        <w:t>he Public Service Commission’s</w:t>
      </w:r>
      <w:r w:rsidR="00A3039F" w:rsidRPr="00DC7D53">
        <w:rPr>
          <w:rFonts w:ascii="Arial" w:hAnsi="Arial" w:cs="Arial"/>
          <w:color w:val="000000"/>
        </w:rPr>
        <w:t xml:space="preserve"> report </w:t>
      </w:r>
      <w:r w:rsidR="00C978BB">
        <w:rPr>
          <w:rFonts w:ascii="Arial" w:hAnsi="Arial" w:cs="Arial"/>
          <w:color w:val="000000"/>
        </w:rPr>
        <w:t>and findings</w:t>
      </w:r>
      <w:r w:rsidR="00A3039F" w:rsidRPr="00DC7D53">
        <w:rPr>
          <w:rFonts w:ascii="Arial" w:hAnsi="Arial" w:cs="Arial"/>
          <w:color w:val="000000"/>
        </w:rPr>
        <w:t xml:space="preserve"> </w:t>
      </w:r>
      <w:r w:rsidR="00825AF3">
        <w:rPr>
          <w:rFonts w:ascii="Arial" w:hAnsi="Arial" w:cs="Arial"/>
          <w:color w:val="000000"/>
        </w:rPr>
        <w:t xml:space="preserve">are submitted </w:t>
      </w:r>
      <w:r w:rsidR="00C978BB">
        <w:rPr>
          <w:rFonts w:ascii="Arial" w:hAnsi="Arial" w:cs="Arial"/>
          <w:color w:val="000000"/>
        </w:rPr>
        <w:t xml:space="preserve">to </w:t>
      </w:r>
      <w:r w:rsidR="00A3039F" w:rsidRPr="00DC7D53">
        <w:rPr>
          <w:rFonts w:ascii="Arial" w:hAnsi="Arial" w:cs="Arial"/>
          <w:color w:val="000000"/>
        </w:rPr>
        <w:t xml:space="preserve">the National Assembly or </w:t>
      </w:r>
      <w:r w:rsidR="00C978BB">
        <w:rPr>
          <w:rFonts w:ascii="Arial" w:hAnsi="Arial" w:cs="Arial"/>
          <w:color w:val="000000"/>
        </w:rPr>
        <w:t xml:space="preserve">to </w:t>
      </w:r>
      <w:r w:rsidR="00A3039F" w:rsidRPr="00DC7D53">
        <w:rPr>
          <w:rFonts w:ascii="Arial" w:hAnsi="Arial" w:cs="Arial"/>
          <w:color w:val="000000"/>
        </w:rPr>
        <w:t xml:space="preserve">Provincial Legislature in line with section 196(6) of the Constitution of the </w:t>
      </w:r>
      <w:r w:rsidR="008C014A" w:rsidRPr="00DC7D53">
        <w:rPr>
          <w:rFonts w:ascii="Arial" w:hAnsi="Arial" w:cs="Arial"/>
          <w:color w:val="000000"/>
        </w:rPr>
        <w:t xml:space="preserve">Republic of </w:t>
      </w:r>
      <w:r w:rsidR="00A3039F" w:rsidRPr="00DC7D53">
        <w:rPr>
          <w:rFonts w:ascii="Arial" w:hAnsi="Arial" w:cs="Arial"/>
          <w:color w:val="000000"/>
        </w:rPr>
        <w:t>South Africa</w:t>
      </w:r>
      <w:r w:rsidR="0073438D" w:rsidRPr="00DC7D53">
        <w:rPr>
          <w:rFonts w:ascii="Arial" w:hAnsi="Arial" w:cs="Arial"/>
          <w:color w:val="000000"/>
        </w:rPr>
        <w:t>,</w:t>
      </w:r>
      <w:r w:rsidR="00D20020">
        <w:rPr>
          <w:rFonts w:ascii="Arial" w:hAnsi="Arial" w:cs="Arial"/>
          <w:color w:val="000000"/>
        </w:rPr>
        <w:t xml:space="preserve"> </w:t>
      </w:r>
      <w:r w:rsidR="0073438D" w:rsidRPr="00DC7D53">
        <w:rPr>
          <w:rFonts w:ascii="Arial" w:hAnsi="Arial" w:cs="Arial"/>
          <w:color w:val="000000"/>
        </w:rPr>
        <w:t>1996</w:t>
      </w:r>
      <w:r w:rsidR="00A3039F" w:rsidRPr="00DC7D53">
        <w:rPr>
          <w:rFonts w:ascii="Arial" w:hAnsi="Arial" w:cs="Arial"/>
          <w:color w:val="000000"/>
        </w:rPr>
        <w:t>.</w:t>
      </w:r>
    </w:p>
    <w:p w:rsidR="008C014A" w:rsidRDefault="008C014A" w:rsidP="005E02F6">
      <w:pPr>
        <w:pStyle w:val="NoSpacing"/>
        <w:spacing w:line="288" w:lineRule="auto"/>
        <w:jc w:val="both"/>
        <w:rPr>
          <w:rFonts w:ascii="Arial" w:hAnsi="Arial" w:cs="Arial"/>
          <w:b/>
          <w:sz w:val="24"/>
          <w:szCs w:val="24"/>
          <w:u w:val="single"/>
        </w:rPr>
      </w:pPr>
    </w:p>
    <w:p w:rsidR="001E4522" w:rsidRDefault="001E4522" w:rsidP="001E4522">
      <w:pPr>
        <w:spacing w:after="200" w:line="288" w:lineRule="auto"/>
        <w:jc w:val="both"/>
        <w:rPr>
          <w:rFonts w:ascii="Arial" w:hAnsi="Arial" w:cs="Arial"/>
          <w:b/>
          <w:bCs/>
          <w:sz w:val="22"/>
          <w:szCs w:val="22"/>
          <w:lang w:val="en-GB"/>
        </w:rPr>
      </w:pPr>
    </w:p>
    <w:sectPr w:rsidR="001E4522" w:rsidSect="003028D3">
      <w:headerReference w:type="first" r:id="rId8"/>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43A" w:rsidRDefault="00BD543A">
      <w:r>
        <w:separator/>
      </w:r>
    </w:p>
  </w:endnote>
  <w:endnote w:type="continuationSeparator" w:id="0">
    <w:p w:rsidR="00BD543A" w:rsidRDefault="00BD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43A" w:rsidRDefault="00BD543A">
      <w:r>
        <w:separator/>
      </w:r>
    </w:p>
  </w:footnote>
  <w:footnote w:type="continuationSeparator" w:id="0">
    <w:p w:rsidR="00BD543A" w:rsidRDefault="00BD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F" w:rsidRDefault="00424CEF" w:rsidP="00424C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5202FD4"/>
    <w:multiLevelType w:val="hybridMultilevel"/>
    <w:tmpl w:val="3468D9A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6532379"/>
    <w:multiLevelType w:val="hybridMultilevel"/>
    <w:tmpl w:val="DACC688E"/>
    <w:lvl w:ilvl="0" w:tplc="4ED82110">
      <w:start w:val="1"/>
      <w:numFmt w:val="lowerRoman"/>
      <w:lvlText w:val="(%1)"/>
      <w:lvlJc w:val="left"/>
      <w:pPr>
        <w:ind w:left="1309" w:hanging="720"/>
      </w:pPr>
      <w:rPr>
        <w:rFonts w:hint="default"/>
      </w:rPr>
    </w:lvl>
    <w:lvl w:ilvl="1" w:tplc="1C090019" w:tentative="1">
      <w:start w:val="1"/>
      <w:numFmt w:val="lowerLetter"/>
      <w:lvlText w:val="%2."/>
      <w:lvlJc w:val="left"/>
      <w:pPr>
        <w:ind w:left="1669" w:hanging="360"/>
      </w:pPr>
    </w:lvl>
    <w:lvl w:ilvl="2" w:tplc="1C09001B" w:tentative="1">
      <w:start w:val="1"/>
      <w:numFmt w:val="lowerRoman"/>
      <w:lvlText w:val="%3."/>
      <w:lvlJc w:val="right"/>
      <w:pPr>
        <w:ind w:left="2389" w:hanging="180"/>
      </w:pPr>
    </w:lvl>
    <w:lvl w:ilvl="3" w:tplc="1C09000F" w:tentative="1">
      <w:start w:val="1"/>
      <w:numFmt w:val="decimal"/>
      <w:lvlText w:val="%4."/>
      <w:lvlJc w:val="left"/>
      <w:pPr>
        <w:ind w:left="3109" w:hanging="360"/>
      </w:pPr>
    </w:lvl>
    <w:lvl w:ilvl="4" w:tplc="1C090019" w:tentative="1">
      <w:start w:val="1"/>
      <w:numFmt w:val="lowerLetter"/>
      <w:lvlText w:val="%5."/>
      <w:lvlJc w:val="left"/>
      <w:pPr>
        <w:ind w:left="3829" w:hanging="360"/>
      </w:pPr>
    </w:lvl>
    <w:lvl w:ilvl="5" w:tplc="1C09001B" w:tentative="1">
      <w:start w:val="1"/>
      <w:numFmt w:val="lowerRoman"/>
      <w:lvlText w:val="%6."/>
      <w:lvlJc w:val="right"/>
      <w:pPr>
        <w:ind w:left="4549" w:hanging="180"/>
      </w:pPr>
    </w:lvl>
    <w:lvl w:ilvl="6" w:tplc="1C09000F" w:tentative="1">
      <w:start w:val="1"/>
      <w:numFmt w:val="decimal"/>
      <w:lvlText w:val="%7."/>
      <w:lvlJc w:val="left"/>
      <w:pPr>
        <w:ind w:left="5269" w:hanging="360"/>
      </w:pPr>
    </w:lvl>
    <w:lvl w:ilvl="7" w:tplc="1C090019" w:tentative="1">
      <w:start w:val="1"/>
      <w:numFmt w:val="lowerLetter"/>
      <w:lvlText w:val="%8."/>
      <w:lvlJc w:val="left"/>
      <w:pPr>
        <w:ind w:left="5989" w:hanging="360"/>
      </w:pPr>
    </w:lvl>
    <w:lvl w:ilvl="8" w:tplc="1C09001B" w:tentative="1">
      <w:start w:val="1"/>
      <w:numFmt w:val="lowerRoman"/>
      <w:lvlText w:val="%9."/>
      <w:lvlJc w:val="right"/>
      <w:pPr>
        <w:ind w:left="6709" w:hanging="180"/>
      </w:pPr>
    </w:lvl>
  </w:abstractNum>
  <w:abstractNum w:abstractNumId="7">
    <w:nsid w:val="4F3D10A5"/>
    <w:multiLevelType w:val="hybridMultilevel"/>
    <w:tmpl w:val="178259B4"/>
    <w:lvl w:ilvl="0" w:tplc="BBA2CB0E">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454C03"/>
    <w:multiLevelType w:val="hybridMultilevel"/>
    <w:tmpl w:val="88165CC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1"/>
  </w:num>
  <w:num w:numId="6">
    <w:abstractNumId w:val="2"/>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819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1241"/>
    <w:rsid w:val="00020CAF"/>
    <w:rsid w:val="000367D4"/>
    <w:rsid w:val="000800E0"/>
    <w:rsid w:val="00090BB5"/>
    <w:rsid w:val="00091605"/>
    <w:rsid w:val="000A4CD1"/>
    <w:rsid w:val="000C5477"/>
    <w:rsid w:val="000E75AD"/>
    <w:rsid w:val="000F2F1D"/>
    <w:rsid w:val="000F7628"/>
    <w:rsid w:val="00105C50"/>
    <w:rsid w:val="00110D4F"/>
    <w:rsid w:val="00111C9D"/>
    <w:rsid w:val="00111E45"/>
    <w:rsid w:val="001147C9"/>
    <w:rsid w:val="001520C6"/>
    <w:rsid w:val="001605C8"/>
    <w:rsid w:val="00160EB8"/>
    <w:rsid w:val="00182ABC"/>
    <w:rsid w:val="00191C29"/>
    <w:rsid w:val="001B7A14"/>
    <w:rsid w:val="001B7FDD"/>
    <w:rsid w:val="001C1511"/>
    <w:rsid w:val="001C7791"/>
    <w:rsid w:val="001E4522"/>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423E"/>
    <w:rsid w:val="003A33F5"/>
    <w:rsid w:val="003B0723"/>
    <w:rsid w:val="003E2199"/>
    <w:rsid w:val="003E2A0B"/>
    <w:rsid w:val="003E3222"/>
    <w:rsid w:val="003E7B8A"/>
    <w:rsid w:val="003F22CB"/>
    <w:rsid w:val="004111D2"/>
    <w:rsid w:val="004164E7"/>
    <w:rsid w:val="00417319"/>
    <w:rsid w:val="00422DFC"/>
    <w:rsid w:val="00424CEF"/>
    <w:rsid w:val="0042667A"/>
    <w:rsid w:val="00435FEA"/>
    <w:rsid w:val="00437E1F"/>
    <w:rsid w:val="0045003C"/>
    <w:rsid w:val="00476121"/>
    <w:rsid w:val="004B1243"/>
    <w:rsid w:val="004B61E6"/>
    <w:rsid w:val="004D2B26"/>
    <w:rsid w:val="004F1A9B"/>
    <w:rsid w:val="004F32B5"/>
    <w:rsid w:val="00505112"/>
    <w:rsid w:val="00514FC4"/>
    <w:rsid w:val="00536A20"/>
    <w:rsid w:val="005450F6"/>
    <w:rsid w:val="00590C60"/>
    <w:rsid w:val="00591B49"/>
    <w:rsid w:val="00593E40"/>
    <w:rsid w:val="005975FE"/>
    <w:rsid w:val="00597A56"/>
    <w:rsid w:val="005B0C33"/>
    <w:rsid w:val="005D5448"/>
    <w:rsid w:val="005E02F6"/>
    <w:rsid w:val="006163C2"/>
    <w:rsid w:val="0061719E"/>
    <w:rsid w:val="00617849"/>
    <w:rsid w:val="00621486"/>
    <w:rsid w:val="00625B6A"/>
    <w:rsid w:val="00630AE3"/>
    <w:rsid w:val="0066183B"/>
    <w:rsid w:val="00664484"/>
    <w:rsid w:val="00694661"/>
    <w:rsid w:val="006966E1"/>
    <w:rsid w:val="006B2E97"/>
    <w:rsid w:val="006B4F8A"/>
    <w:rsid w:val="006D7E05"/>
    <w:rsid w:val="006F0B6A"/>
    <w:rsid w:val="0071348D"/>
    <w:rsid w:val="007201AD"/>
    <w:rsid w:val="0072142B"/>
    <w:rsid w:val="00726819"/>
    <w:rsid w:val="0073438D"/>
    <w:rsid w:val="00741C9B"/>
    <w:rsid w:val="007570E9"/>
    <w:rsid w:val="007777AE"/>
    <w:rsid w:val="007816EA"/>
    <w:rsid w:val="007853B3"/>
    <w:rsid w:val="00794504"/>
    <w:rsid w:val="007B2B03"/>
    <w:rsid w:val="007C6706"/>
    <w:rsid w:val="007D65F8"/>
    <w:rsid w:val="007F7C4D"/>
    <w:rsid w:val="00811AA5"/>
    <w:rsid w:val="008123E9"/>
    <w:rsid w:val="00825A9B"/>
    <w:rsid w:val="00825A9C"/>
    <w:rsid w:val="00825AF3"/>
    <w:rsid w:val="008312F6"/>
    <w:rsid w:val="0083253C"/>
    <w:rsid w:val="00851106"/>
    <w:rsid w:val="00853808"/>
    <w:rsid w:val="00877C40"/>
    <w:rsid w:val="008A593D"/>
    <w:rsid w:val="008A60EC"/>
    <w:rsid w:val="008C014A"/>
    <w:rsid w:val="008C284A"/>
    <w:rsid w:val="008D12CF"/>
    <w:rsid w:val="008E42C8"/>
    <w:rsid w:val="008E4ECE"/>
    <w:rsid w:val="008E5FF5"/>
    <w:rsid w:val="008F29A1"/>
    <w:rsid w:val="00902ECF"/>
    <w:rsid w:val="00906716"/>
    <w:rsid w:val="009073FC"/>
    <w:rsid w:val="009148C5"/>
    <w:rsid w:val="009410F4"/>
    <w:rsid w:val="00945680"/>
    <w:rsid w:val="0094701C"/>
    <w:rsid w:val="00960CFF"/>
    <w:rsid w:val="00961D75"/>
    <w:rsid w:val="0096273C"/>
    <w:rsid w:val="00993FD3"/>
    <w:rsid w:val="00A0326A"/>
    <w:rsid w:val="00A14834"/>
    <w:rsid w:val="00A215DF"/>
    <w:rsid w:val="00A240BD"/>
    <w:rsid w:val="00A3039F"/>
    <w:rsid w:val="00A35A9D"/>
    <w:rsid w:val="00A430B6"/>
    <w:rsid w:val="00A62CD4"/>
    <w:rsid w:val="00A64AA5"/>
    <w:rsid w:val="00A727DC"/>
    <w:rsid w:val="00AA65D6"/>
    <w:rsid w:val="00AA777C"/>
    <w:rsid w:val="00AE1A6B"/>
    <w:rsid w:val="00B13267"/>
    <w:rsid w:val="00B24195"/>
    <w:rsid w:val="00B3002A"/>
    <w:rsid w:val="00B31933"/>
    <w:rsid w:val="00B366BD"/>
    <w:rsid w:val="00B81A2F"/>
    <w:rsid w:val="00BA1F25"/>
    <w:rsid w:val="00BA7B88"/>
    <w:rsid w:val="00BC35A5"/>
    <w:rsid w:val="00BD33FC"/>
    <w:rsid w:val="00BD543A"/>
    <w:rsid w:val="00BE14EA"/>
    <w:rsid w:val="00C007DD"/>
    <w:rsid w:val="00C10090"/>
    <w:rsid w:val="00C169ED"/>
    <w:rsid w:val="00C27D2F"/>
    <w:rsid w:val="00C3283B"/>
    <w:rsid w:val="00C978BB"/>
    <w:rsid w:val="00CB5A7E"/>
    <w:rsid w:val="00CC0E45"/>
    <w:rsid w:val="00CF40C2"/>
    <w:rsid w:val="00CF4CF3"/>
    <w:rsid w:val="00D20020"/>
    <w:rsid w:val="00D27283"/>
    <w:rsid w:val="00D27D47"/>
    <w:rsid w:val="00D30C68"/>
    <w:rsid w:val="00D65E65"/>
    <w:rsid w:val="00D66467"/>
    <w:rsid w:val="00D87F5B"/>
    <w:rsid w:val="00DC19DA"/>
    <w:rsid w:val="00DC7D53"/>
    <w:rsid w:val="00DD1BD0"/>
    <w:rsid w:val="00DD515B"/>
    <w:rsid w:val="00DD708B"/>
    <w:rsid w:val="00DE6E86"/>
    <w:rsid w:val="00DF7F34"/>
    <w:rsid w:val="00E05FEB"/>
    <w:rsid w:val="00E25438"/>
    <w:rsid w:val="00E504B7"/>
    <w:rsid w:val="00E52271"/>
    <w:rsid w:val="00E71FF9"/>
    <w:rsid w:val="00EB073A"/>
    <w:rsid w:val="00EB47E2"/>
    <w:rsid w:val="00EC4611"/>
    <w:rsid w:val="00ED7FE8"/>
    <w:rsid w:val="00EF6692"/>
    <w:rsid w:val="00F0191A"/>
    <w:rsid w:val="00F139C0"/>
    <w:rsid w:val="00F15438"/>
    <w:rsid w:val="00F21DC6"/>
    <w:rsid w:val="00F23030"/>
    <w:rsid w:val="00F24F08"/>
    <w:rsid w:val="00F328A7"/>
    <w:rsid w:val="00F42909"/>
    <w:rsid w:val="00F43C45"/>
    <w:rsid w:val="00F45438"/>
    <w:rsid w:val="00F51AF3"/>
    <w:rsid w:val="00F66C96"/>
    <w:rsid w:val="00F752DD"/>
    <w:rsid w:val="00F77A0D"/>
    <w:rsid w:val="00F92F09"/>
    <w:rsid w:val="00FB4973"/>
    <w:rsid w:val="00FE62AF"/>
    <w:rsid w:val="00FF55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rap-style:none">
      <v:stroke weight="0" endcap="round"/>
      <v:textbox style="mso-column-count:0;mso-column-margin:0" inset="0,0,0,0"/>
    </o:shapedefaults>
    <o:shapelayout v:ext="edit">
      <o:idmap v:ext="edit" data="1"/>
    </o:shapelayout>
  </w:shapeDefaults>
  <w:doNotEmbedSmartTags/>
  <w:decimalSymbol w:val="."/>
  <w:listSeparator w:val=","/>
  <w15:docId w15:val="{D1716831-E79E-4544-B1D0-959F59C5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lang w:val="en-ZA" w:eastAsia="en-ZA"/>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val="en-ZA"/>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customStyle="1" w:styleId="Default">
    <w:name w:val="Default"/>
    <w:rsid w:val="00D65E65"/>
    <w:pPr>
      <w:autoSpaceDE w:val="0"/>
      <w:autoSpaceDN w:val="0"/>
      <w:adjustRightInd w:val="0"/>
    </w:pPr>
    <w:rPr>
      <w:rFonts w:ascii="Arial" w:hAnsi="Arial" w:cs="Arial"/>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Gcina Matakane</cp:lastModifiedBy>
  <cp:revision>2</cp:revision>
  <cp:lastPrinted>2015-11-12T21:45:00Z</cp:lastPrinted>
  <dcterms:created xsi:type="dcterms:W3CDTF">2015-12-01T07:31:00Z</dcterms:created>
  <dcterms:modified xsi:type="dcterms:W3CDTF">2015-12-01T07:31:00Z</dcterms:modified>
</cp:coreProperties>
</file>