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9301E">
        <w:rPr>
          <w:rFonts w:eastAsia="Calibri" w:cs="Arial"/>
          <w:b/>
          <w:sz w:val="24"/>
          <w:szCs w:val="24"/>
        </w:rPr>
        <w:t>3884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9301E">
        <w:rPr>
          <w:rFonts w:eastAsia="Calibri" w:cs="Arial"/>
          <w:b/>
          <w:sz w:val="24"/>
          <w:szCs w:val="24"/>
          <w:lang w:eastAsia="en-US"/>
        </w:rPr>
        <w:t>NW4462</w:t>
      </w:r>
      <w:r w:rsidR="0012628A" w:rsidRPr="0012628A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A86DF9">
        <w:rPr>
          <w:rFonts w:cs="Arial"/>
          <w:b/>
          <w:sz w:val="24"/>
          <w:szCs w:val="24"/>
          <w:lang w:val="en-US" w:eastAsia="en-US"/>
        </w:rPr>
        <w:t>4</w:t>
      </w:r>
      <w:r w:rsidR="001F698C">
        <w:rPr>
          <w:rFonts w:cs="Arial"/>
          <w:b/>
          <w:sz w:val="24"/>
          <w:szCs w:val="24"/>
          <w:lang w:val="en-US" w:eastAsia="en-US"/>
        </w:rPr>
        <w:t>5</w:t>
      </w:r>
      <w:r w:rsidR="00DB3960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F698C">
        <w:rPr>
          <w:rFonts w:cs="Arial"/>
          <w:b/>
          <w:sz w:val="24"/>
          <w:szCs w:val="24"/>
        </w:rPr>
        <w:t>06 DEC</w:t>
      </w:r>
      <w:r w:rsidR="00A86DF9">
        <w:rPr>
          <w:rFonts w:cs="Arial"/>
          <w:b/>
          <w:sz w:val="24"/>
          <w:szCs w:val="24"/>
        </w:rPr>
        <w:t>EMBER</w:t>
      </w:r>
      <w:r w:rsidR="001372AA">
        <w:rPr>
          <w:rFonts w:cs="Arial"/>
          <w:b/>
          <w:sz w:val="24"/>
          <w:szCs w:val="24"/>
        </w:rPr>
        <w:t xml:space="preserve"> 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DB3960">
        <w:rPr>
          <w:rFonts w:cs="Arial"/>
          <w:b/>
          <w:sz w:val="24"/>
          <w:szCs w:val="24"/>
          <w:lang w:val="en-US" w:eastAsia="en-US"/>
        </w:rPr>
        <w:t xml:space="preserve">   19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12628A">
        <w:rPr>
          <w:rFonts w:cs="Arial"/>
          <w:b/>
          <w:sz w:val="24"/>
          <w:szCs w:val="24"/>
          <w:lang w:val="en-US" w:eastAsia="en-US"/>
        </w:rPr>
        <w:t>DEC</w:t>
      </w:r>
      <w:r w:rsidR="008425A3">
        <w:rPr>
          <w:rFonts w:cs="Arial"/>
          <w:b/>
          <w:sz w:val="24"/>
          <w:szCs w:val="24"/>
          <w:lang w:val="en-US" w:eastAsia="en-US"/>
        </w:rPr>
        <w:t>EM</w:t>
      </w:r>
      <w:r w:rsidR="00B64EFC">
        <w:rPr>
          <w:rFonts w:cs="Arial"/>
          <w:b/>
          <w:sz w:val="24"/>
          <w:szCs w:val="24"/>
          <w:lang w:val="en-US" w:eastAsia="en-US"/>
        </w:rPr>
        <w:t>BER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2018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4D2249" w:rsidRDefault="0029301E" w:rsidP="00DB3960">
      <w:pPr>
        <w:spacing w:before="100" w:beforeAutospacing="1" w:after="100" w:afterAutospacing="1" w:line="300" w:lineRule="auto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3884</w:t>
      </w:r>
      <w:r w:rsidR="008425A3" w:rsidRPr="008425A3">
        <w:rPr>
          <w:rFonts w:eastAsia="Calibri" w:cs="Arial"/>
          <w:b/>
          <w:sz w:val="24"/>
          <w:szCs w:val="24"/>
        </w:rPr>
        <w:t>.</w:t>
      </w:r>
      <w:r w:rsidR="00A86DF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550A0F" w:rsidRPr="00550A0F">
        <w:rPr>
          <w:rFonts w:eastAsia="Calibri" w:cs="Arial"/>
          <w:b/>
          <w:sz w:val="24"/>
          <w:szCs w:val="24"/>
          <w:lang w:val="af-ZA" w:eastAsia="en-US"/>
        </w:rPr>
        <w:t xml:space="preserve">Ms N V </w:t>
      </w:r>
      <w:r w:rsidR="00550A0F" w:rsidRPr="00550A0F">
        <w:rPr>
          <w:rFonts w:eastAsia="Calibri" w:cs="Arial"/>
          <w:b/>
          <w:sz w:val="24"/>
          <w:szCs w:val="24"/>
          <w:lang w:eastAsia="en-US"/>
        </w:rPr>
        <w:t>Mente</w:t>
      </w:r>
      <w:r w:rsidR="00550A0F" w:rsidRPr="00550A0F">
        <w:rPr>
          <w:rFonts w:eastAsia="Calibri" w:cs="Arial"/>
          <w:b/>
          <w:sz w:val="24"/>
          <w:szCs w:val="24"/>
          <w:lang w:val="af-ZA" w:eastAsia="en-US"/>
        </w:rPr>
        <w:t xml:space="preserve"> (EFF)</w:t>
      </w:r>
      <w:r w:rsidR="00AD22F6" w:rsidRPr="00AD22F6">
        <w:rPr>
          <w:rFonts w:eastAsia="Calibri" w:cs="Arial"/>
          <w:b/>
          <w:sz w:val="24"/>
          <w:szCs w:val="24"/>
          <w:lang w:val="af-ZA" w:eastAsia="en-US"/>
        </w:rPr>
        <w:t xml:space="preserve">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29301E" w:rsidRPr="0029301E" w:rsidRDefault="0029301E" w:rsidP="00DB3960">
      <w:pPr>
        <w:spacing w:after="100" w:afterAutospacing="1" w:line="300" w:lineRule="auto"/>
        <w:outlineLvl w:val="0"/>
        <w:rPr>
          <w:rFonts w:eastAsia="DengXian" w:cs="Arial"/>
          <w:b/>
          <w:color w:val="000000"/>
          <w:sz w:val="24"/>
          <w:szCs w:val="24"/>
          <w:lang w:val="en-GB" w:eastAsia="zh-CN"/>
        </w:rPr>
      </w:pPr>
      <w:r w:rsidRPr="00543CD6">
        <w:rPr>
          <w:rFonts w:eastAsia="Calibri" w:cs="Arial"/>
          <w:sz w:val="24"/>
          <w:szCs w:val="24"/>
          <w:lang w:val="en-GB" w:eastAsia="en-US"/>
        </w:rPr>
        <w:t>What amount has his department spent on repairing buildings it owns and/or has under its custodianship in each of the past five financial years</w:t>
      </w:r>
      <w:r w:rsidRPr="00543CD6">
        <w:rPr>
          <w:rFonts w:eastAsia="Calibri" w:cs="Arial"/>
          <w:color w:val="000000"/>
          <w:sz w:val="24"/>
          <w:szCs w:val="24"/>
          <w:lang w:val="en-GB" w:eastAsia="en-ZA"/>
        </w:rPr>
        <w:t>?</w:t>
      </w:r>
      <w:r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 w:rsidR="00DB3960"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 w:rsidR="00DB3960"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 w:rsidR="00DB3960">
        <w:rPr>
          <w:rFonts w:eastAsia="DengXian" w:cs="Arial"/>
          <w:color w:val="000000"/>
          <w:sz w:val="24"/>
          <w:szCs w:val="24"/>
          <w:lang w:val="en-GB" w:eastAsia="zh-CN"/>
        </w:rPr>
        <w:tab/>
      </w:r>
      <w:r>
        <w:rPr>
          <w:rFonts w:eastAsia="DengXian" w:cs="Arial"/>
          <w:color w:val="000000"/>
          <w:sz w:val="24"/>
          <w:szCs w:val="24"/>
          <w:lang w:val="en-GB" w:eastAsia="zh-CN"/>
        </w:rPr>
        <w:t xml:space="preserve">  </w:t>
      </w:r>
      <w:r w:rsidRPr="00DB3960">
        <w:rPr>
          <w:rFonts w:eastAsia="DengXian" w:cs="Arial"/>
          <w:b/>
          <w:color w:val="000000"/>
          <w:sz w:val="20"/>
          <w:lang w:val="en-GB" w:eastAsia="zh-CN"/>
        </w:rPr>
        <w:t>NW4462E</w:t>
      </w:r>
    </w:p>
    <w:p w:rsidR="004D2F24" w:rsidRPr="00155F06" w:rsidRDefault="004D2F24" w:rsidP="00DB3960">
      <w:pPr>
        <w:spacing w:after="100" w:afterAutospacing="1" w:line="300" w:lineRule="auto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</w:p>
    <w:p w:rsidR="00DB3960" w:rsidRPr="006F6CCD" w:rsidRDefault="00DB3960" w:rsidP="00DB3960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6F6CCD">
        <w:rPr>
          <w:rFonts w:cs="Arial"/>
          <w:b/>
          <w:sz w:val="24"/>
          <w:szCs w:val="24"/>
          <w:lang w:eastAsia="en-US"/>
        </w:rPr>
        <w:t>The Minister of Public Works</w:t>
      </w:r>
    </w:p>
    <w:p w:rsidR="00DB3960" w:rsidRDefault="00DB3960" w:rsidP="00DB3960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DB3960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DB3960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DB3960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9D256C" w:rsidRDefault="00D82A5F" w:rsidP="00DB3960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The department </w:t>
      </w:r>
      <w:r w:rsidR="00DC5612">
        <w:rPr>
          <w:rFonts w:cs="Arial"/>
          <w:sz w:val="24"/>
          <w:szCs w:val="24"/>
          <w:lang w:eastAsia="en-US"/>
        </w:rPr>
        <w:t xml:space="preserve">has an </w:t>
      </w:r>
      <w:r>
        <w:rPr>
          <w:rFonts w:cs="Arial"/>
          <w:sz w:val="24"/>
          <w:szCs w:val="24"/>
          <w:lang w:eastAsia="en-US"/>
        </w:rPr>
        <w:t xml:space="preserve">infrastructure programme dedicated for repairs, renovations and maintenance </w:t>
      </w:r>
      <w:r w:rsidR="00D47536">
        <w:rPr>
          <w:rFonts w:cs="Arial"/>
          <w:sz w:val="24"/>
          <w:szCs w:val="24"/>
          <w:lang w:eastAsia="en-US"/>
        </w:rPr>
        <w:t xml:space="preserve">(Planned Maintenance) </w:t>
      </w:r>
      <w:r>
        <w:rPr>
          <w:rFonts w:cs="Arial"/>
          <w:sz w:val="24"/>
          <w:szCs w:val="24"/>
          <w:lang w:eastAsia="en-US"/>
        </w:rPr>
        <w:t>for facilities under its custodianship.</w:t>
      </w:r>
      <w:r w:rsidR="00DB3960">
        <w:rPr>
          <w:rFonts w:cs="Arial"/>
          <w:sz w:val="24"/>
          <w:szCs w:val="24"/>
          <w:lang w:eastAsia="en-US"/>
        </w:rPr>
        <w:t xml:space="preserve"> There is also have a dedicated sub-</w:t>
      </w:r>
      <w:r w:rsidR="00DC5612">
        <w:rPr>
          <w:rFonts w:cs="Arial"/>
          <w:sz w:val="24"/>
          <w:szCs w:val="24"/>
          <w:lang w:eastAsia="en-US"/>
        </w:rPr>
        <w:t>programme for repair and maintenance (RAMP) of land ports of entries</w:t>
      </w:r>
      <w:r w:rsidR="000709FD">
        <w:rPr>
          <w:rFonts w:cs="Arial"/>
          <w:sz w:val="24"/>
          <w:szCs w:val="24"/>
          <w:lang w:eastAsia="en-US"/>
        </w:rPr>
        <w:t xml:space="preserve"> (LPOE)</w:t>
      </w:r>
      <w:r w:rsidR="00DC5612">
        <w:rPr>
          <w:rFonts w:cs="Arial"/>
          <w:sz w:val="24"/>
          <w:szCs w:val="24"/>
          <w:lang w:eastAsia="en-US"/>
        </w:rPr>
        <w:t xml:space="preserve"> across </w:t>
      </w:r>
      <w:r w:rsidR="00D47536">
        <w:rPr>
          <w:rFonts w:cs="Arial"/>
          <w:sz w:val="24"/>
          <w:szCs w:val="24"/>
          <w:lang w:eastAsia="en-US"/>
        </w:rPr>
        <w:t xml:space="preserve">the country. The main objective of </w:t>
      </w:r>
      <w:r w:rsidR="00D47536" w:rsidRPr="00D47536">
        <w:rPr>
          <w:rFonts w:cs="Arial"/>
          <w:sz w:val="24"/>
          <w:szCs w:val="24"/>
          <w:lang w:eastAsia="en-US"/>
        </w:rPr>
        <w:t xml:space="preserve">RAMP </w:t>
      </w:r>
      <w:r w:rsidR="00D47536">
        <w:rPr>
          <w:rFonts w:cs="Arial"/>
          <w:sz w:val="24"/>
          <w:szCs w:val="24"/>
          <w:lang w:eastAsia="en-US"/>
        </w:rPr>
        <w:t xml:space="preserve">is </w:t>
      </w:r>
      <w:r w:rsidR="00D47536" w:rsidRPr="00D47536">
        <w:rPr>
          <w:rFonts w:cs="Arial"/>
          <w:sz w:val="24"/>
          <w:szCs w:val="24"/>
          <w:lang w:eastAsia="en-US"/>
        </w:rPr>
        <w:t>to address the backlog of repair and maintenance required to provide User Clients with eff</w:t>
      </w:r>
      <w:r w:rsidR="00D47536">
        <w:rPr>
          <w:rFonts w:cs="Arial"/>
          <w:sz w:val="24"/>
          <w:szCs w:val="24"/>
          <w:lang w:eastAsia="en-US"/>
        </w:rPr>
        <w:t>ective and efficient facilities. The table below illustrate</w:t>
      </w:r>
      <w:r w:rsidR="00DB3960">
        <w:rPr>
          <w:rFonts w:cs="Arial"/>
          <w:sz w:val="24"/>
          <w:szCs w:val="24"/>
          <w:lang w:eastAsia="en-US"/>
        </w:rPr>
        <w:t xml:space="preserve">s the expenditure in the past five </w:t>
      </w:r>
      <w:r w:rsidR="00D47536">
        <w:rPr>
          <w:rFonts w:cs="Arial"/>
          <w:sz w:val="24"/>
          <w:szCs w:val="24"/>
          <w:lang w:eastAsia="en-US"/>
        </w:rPr>
        <w:t xml:space="preserve">financial years for both RAMP and </w:t>
      </w:r>
      <w:r w:rsidR="00DB3960">
        <w:rPr>
          <w:rFonts w:cs="Arial"/>
          <w:sz w:val="24"/>
          <w:szCs w:val="24"/>
          <w:lang w:eastAsia="en-US"/>
        </w:rPr>
        <w:t xml:space="preserve">the </w:t>
      </w:r>
      <w:r w:rsidR="00D47536">
        <w:rPr>
          <w:rFonts w:cs="Arial"/>
          <w:sz w:val="24"/>
          <w:szCs w:val="24"/>
          <w:lang w:eastAsia="en-US"/>
        </w:rPr>
        <w:t xml:space="preserve">Planned Maintenance programme. </w:t>
      </w:r>
      <w:r w:rsidR="00DB3960">
        <w:rPr>
          <w:rFonts w:cs="Arial"/>
          <w:sz w:val="24"/>
          <w:szCs w:val="24"/>
          <w:lang w:eastAsia="en-US"/>
        </w:rPr>
        <w:t>It is quite apparent that there is a funding gap as the expenditure has been exceeding the allocations since the 2016/17 financial year, which attests to improved performance by the Department and the Property Mnagement trading Entity (PMTE).</w:t>
      </w:r>
    </w:p>
    <w:p w:rsidR="00DB3960" w:rsidRDefault="00DB3960" w:rsidP="00DB3960">
      <w:pPr>
        <w:spacing w:line="300" w:lineRule="auto"/>
        <w:rPr>
          <w:rFonts w:cs="Arial"/>
          <w:sz w:val="24"/>
          <w:szCs w:val="24"/>
          <w:lang w:eastAsia="en-US"/>
        </w:rPr>
      </w:pPr>
    </w:p>
    <w:p w:rsidR="00DB3960" w:rsidRDefault="00D47C64" w:rsidP="00DB3960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EXPENDITURE OVER THE LAST FIVE YEARS:</w:t>
      </w:r>
    </w:p>
    <w:p w:rsidR="00CA025E" w:rsidRDefault="00CA025E" w:rsidP="00847567">
      <w:pPr>
        <w:spacing w:line="120" w:lineRule="auto"/>
        <w:jc w:val="left"/>
        <w:rPr>
          <w:rFonts w:cs="Arial"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1868"/>
        <w:gridCol w:w="1868"/>
        <w:gridCol w:w="1868"/>
        <w:gridCol w:w="1868"/>
      </w:tblGrid>
      <w:tr w:rsidR="00CA025E" w:rsidTr="00847567">
        <w:tc>
          <w:tcPr>
            <w:tcW w:w="1417" w:type="dxa"/>
            <w:vMerge w:val="restart"/>
            <w:shd w:val="clear" w:color="auto" w:fill="D6E3BC" w:themeFill="accent3" w:themeFillTint="66"/>
          </w:tcPr>
          <w:p w:rsidR="00CA025E" w:rsidRPr="00847567" w:rsidRDefault="00CA025E" w:rsidP="00847567">
            <w:pPr>
              <w:jc w:val="center"/>
              <w:rPr>
                <w:rFonts w:cs="Arial"/>
                <w:b/>
                <w:sz w:val="20"/>
                <w:szCs w:val="22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2"/>
                <w:lang w:eastAsia="en-US"/>
              </w:rPr>
              <w:t>Financial Year</w:t>
            </w:r>
          </w:p>
        </w:tc>
        <w:tc>
          <w:tcPr>
            <w:tcW w:w="3736" w:type="dxa"/>
            <w:gridSpan w:val="2"/>
            <w:shd w:val="clear" w:color="auto" w:fill="F2DBDB" w:themeFill="accent2" w:themeFillTint="33"/>
          </w:tcPr>
          <w:p w:rsidR="00CA025E" w:rsidRPr="00847567" w:rsidRDefault="00CA025E" w:rsidP="00847567">
            <w:pPr>
              <w:spacing w:line="360" w:lineRule="auto"/>
              <w:jc w:val="center"/>
              <w:rPr>
                <w:rFonts w:cs="Arial"/>
                <w:b/>
                <w:sz w:val="20"/>
                <w:szCs w:val="22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2"/>
                <w:lang w:eastAsia="en-US"/>
              </w:rPr>
              <w:t>Planned Maintenance</w:t>
            </w:r>
          </w:p>
        </w:tc>
        <w:tc>
          <w:tcPr>
            <w:tcW w:w="3736" w:type="dxa"/>
            <w:gridSpan w:val="2"/>
            <w:shd w:val="clear" w:color="auto" w:fill="B6DDE8" w:themeFill="accent5" w:themeFillTint="66"/>
          </w:tcPr>
          <w:p w:rsidR="00CA025E" w:rsidRPr="00847567" w:rsidRDefault="00CA025E" w:rsidP="00847567">
            <w:pPr>
              <w:spacing w:line="360" w:lineRule="auto"/>
              <w:jc w:val="center"/>
              <w:rPr>
                <w:rFonts w:cs="Arial"/>
                <w:b/>
                <w:sz w:val="20"/>
                <w:szCs w:val="22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2"/>
                <w:lang w:eastAsia="en-US"/>
              </w:rPr>
              <w:t>LPOE RAMP</w:t>
            </w:r>
          </w:p>
        </w:tc>
      </w:tr>
      <w:tr w:rsidR="00CA025E" w:rsidTr="00847567">
        <w:trPr>
          <w:trHeight w:val="301"/>
        </w:trPr>
        <w:tc>
          <w:tcPr>
            <w:tcW w:w="1417" w:type="dxa"/>
            <w:vMerge/>
            <w:shd w:val="clear" w:color="auto" w:fill="D6E3BC" w:themeFill="accent3" w:themeFillTint="66"/>
          </w:tcPr>
          <w:p w:rsidR="00CA025E" w:rsidRPr="00847567" w:rsidRDefault="00CA025E" w:rsidP="00847567">
            <w:pPr>
              <w:spacing w:line="360" w:lineRule="auto"/>
              <w:jc w:val="center"/>
              <w:rPr>
                <w:rFonts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868" w:type="dxa"/>
            <w:shd w:val="clear" w:color="auto" w:fill="F2DBDB" w:themeFill="accent2" w:themeFillTint="33"/>
          </w:tcPr>
          <w:p w:rsidR="00CA025E" w:rsidRPr="00847567" w:rsidRDefault="00CA025E" w:rsidP="00847567">
            <w:pPr>
              <w:spacing w:line="360" w:lineRule="auto"/>
              <w:jc w:val="center"/>
              <w:rPr>
                <w:rFonts w:cs="Arial"/>
                <w:b/>
                <w:sz w:val="20"/>
                <w:szCs w:val="22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2"/>
                <w:lang w:eastAsia="en-US"/>
              </w:rPr>
              <w:t>Allocation</w:t>
            </w:r>
          </w:p>
        </w:tc>
        <w:tc>
          <w:tcPr>
            <w:tcW w:w="1868" w:type="dxa"/>
            <w:shd w:val="clear" w:color="auto" w:fill="F2DBDB" w:themeFill="accent2" w:themeFillTint="33"/>
          </w:tcPr>
          <w:p w:rsidR="00CA025E" w:rsidRPr="00847567" w:rsidRDefault="00CA025E" w:rsidP="00847567">
            <w:pPr>
              <w:spacing w:line="360" w:lineRule="auto"/>
              <w:jc w:val="center"/>
              <w:rPr>
                <w:rFonts w:cs="Arial"/>
                <w:b/>
                <w:sz w:val="20"/>
                <w:szCs w:val="22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2"/>
                <w:lang w:eastAsia="en-US"/>
              </w:rPr>
              <w:t>Expenditure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025E" w:rsidRPr="00847567" w:rsidRDefault="00CA025E" w:rsidP="00847567">
            <w:pPr>
              <w:spacing w:line="360" w:lineRule="auto"/>
              <w:jc w:val="center"/>
              <w:rPr>
                <w:rFonts w:cs="Arial"/>
                <w:b/>
                <w:sz w:val="20"/>
                <w:szCs w:val="22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2"/>
                <w:lang w:eastAsia="en-US"/>
              </w:rPr>
              <w:t>Allocation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025E" w:rsidRPr="00847567" w:rsidRDefault="00CA025E" w:rsidP="00847567">
            <w:pPr>
              <w:spacing w:line="360" w:lineRule="auto"/>
              <w:jc w:val="center"/>
              <w:rPr>
                <w:rFonts w:cs="Arial"/>
                <w:b/>
                <w:sz w:val="20"/>
                <w:szCs w:val="22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2"/>
                <w:lang w:eastAsia="en-US"/>
              </w:rPr>
              <w:t>Expenditure</w:t>
            </w:r>
          </w:p>
        </w:tc>
      </w:tr>
      <w:tr w:rsidR="00847567" w:rsidTr="00847567">
        <w:tc>
          <w:tcPr>
            <w:tcW w:w="1417" w:type="dxa"/>
            <w:shd w:val="clear" w:color="auto" w:fill="D6E3BC" w:themeFill="accent3" w:themeFillTint="66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4"/>
                <w:lang w:eastAsia="en-US"/>
              </w:rPr>
              <w:t>2013/14</w:t>
            </w:r>
          </w:p>
        </w:tc>
        <w:tc>
          <w:tcPr>
            <w:tcW w:w="1868" w:type="dxa"/>
            <w:shd w:val="clear" w:color="auto" w:fill="F2DBDB" w:themeFill="accent2" w:themeFillTint="33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2 360 072 804</w:t>
            </w:r>
            <w:r w:rsidRPr="00847567">
              <w:rPr>
                <w:rFonts w:cs="Arial"/>
                <w:sz w:val="20"/>
                <w:szCs w:val="24"/>
                <w:lang w:eastAsia="en-US"/>
              </w:rPr>
              <w:tab/>
            </w:r>
          </w:p>
        </w:tc>
        <w:tc>
          <w:tcPr>
            <w:tcW w:w="1868" w:type="dxa"/>
            <w:shd w:val="clear" w:color="auto" w:fill="F2DBDB" w:themeFill="accent2" w:themeFillTint="33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1 970 927 995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202 206 000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196 266 797</w:t>
            </w:r>
          </w:p>
        </w:tc>
      </w:tr>
      <w:tr w:rsidR="00847567" w:rsidTr="00847567">
        <w:tc>
          <w:tcPr>
            <w:tcW w:w="1417" w:type="dxa"/>
            <w:shd w:val="clear" w:color="auto" w:fill="D6E3BC" w:themeFill="accent3" w:themeFillTint="66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4"/>
                <w:lang w:eastAsia="en-US"/>
              </w:rPr>
              <w:t>2014/15</w:t>
            </w:r>
          </w:p>
        </w:tc>
        <w:tc>
          <w:tcPr>
            <w:tcW w:w="1868" w:type="dxa"/>
            <w:shd w:val="clear" w:color="auto" w:fill="F2DBDB" w:themeFill="accent2" w:themeFillTint="33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2 126 616 045</w:t>
            </w:r>
            <w:r w:rsidRPr="00847567">
              <w:rPr>
                <w:rFonts w:cs="Arial"/>
                <w:sz w:val="20"/>
                <w:szCs w:val="24"/>
                <w:lang w:eastAsia="en-US"/>
              </w:rPr>
              <w:tab/>
            </w:r>
          </w:p>
        </w:tc>
        <w:tc>
          <w:tcPr>
            <w:tcW w:w="1868" w:type="dxa"/>
            <w:shd w:val="clear" w:color="auto" w:fill="F2DBDB" w:themeFill="accent2" w:themeFillTint="33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2 100 393 417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142 000 000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137 163 660</w:t>
            </w:r>
          </w:p>
        </w:tc>
      </w:tr>
      <w:tr w:rsidR="00847567" w:rsidTr="00847567">
        <w:tc>
          <w:tcPr>
            <w:tcW w:w="1417" w:type="dxa"/>
            <w:shd w:val="clear" w:color="auto" w:fill="D6E3BC" w:themeFill="accent3" w:themeFillTint="66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4"/>
                <w:lang w:eastAsia="en-US"/>
              </w:rPr>
              <w:t>2015/16</w:t>
            </w:r>
          </w:p>
        </w:tc>
        <w:tc>
          <w:tcPr>
            <w:tcW w:w="1868" w:type="dxa"/>
            <w:shd w:val="clear" w:color="auto" w:fill="F2DBDB" w:themeFill="accent2" w:themeFillTint="33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1 984 008 482</w:t>
            </w:r>
            <w:r w:rsidRPr="00847567">
              <w:rPr>
                <w:rFonts w:cs="Arial"/>
                <w:sz w:val="20"/>
                <w:szCs w:val="24"/>
                <w:lang w:eastAsia="en-US"/>
              </w:rPr>
              <w:tab/>
            </w:r>
          </w:p>
        </w:tc>
        <w:tc>
          <w:tcPr>
            <w:tcW w:w="1868" w:type="dxa"/>
            <w:shd w:val="clear" w:color="auto" w:fill="F2DBDB" w:themeFill="accent2" w:themeFillTint="33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1 984 008 482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222 350 000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167 907 487</w:t>
            </w:r>
          </w:p>
        </w:tc>
      </w:tr>
      <w:tr w:rsidR="00847567" w:rsidTr="00847567">
        <w:tc>
          <w:tcPr>
            <w:tcW w:w="1417" w:type="dxa"/>
            <w:shd w:val="clear" w:color="auto" w:fill="D6E3BC" w:themeFill="accent3" w:themeFillTint="66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4"/>
                <w:lang w:eastAsia="en-US"/>
              </w:rPr>
              <w:t>2016/17</w:t>
            </w:r>
          </w:p>
        </w:tc>
        <w:tc>
          <w:tcPr>
            <w:tcW w:w="1868" w:type="dxa"/>
            <w:shd w:val="clear" w:color="auto" w:fill="F2DBDB" w:themeFill="accent2" w:themeFillTint="33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1 947 939 201</w:t>
            </w:r>
          </w:p>
        </w:tc>
        <w:tc>
          <w:tcPr>
            <w:tcW w:w="1868" w:type="dxa"/>
            <w:shd w:val="clear" w:color="auto" w:fill="F2DBDB" w:themeFill="accent2" w:themeFillTint="33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2 000 192 365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169 193 000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203 529 542</w:t>
            </w:r>
          </w:p>
        </w:tc>
      </w:tr>
      <w:tr w:rsidR="00847567" w:rsidTr="00847567">
        <w:tc>
          <w:tcPr>
            <w:tcW w:w="1417" w:type="dxa"/>
            <w:shd w:val="clear" w:color="auto" w:fill="D6E3BC" w:themeFill="accent3" w:themeFillTint="66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b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4"/>
                <w:lang w:eastAsia="en-US"/>
              </w:rPr>
              <w:t>2017/18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1 978 058 499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1 985 447 290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200 664 000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340 587 682</w:t>
            </w:r>
          </w:p>
        </w:tc>
      </w:tr>
      <w:tr w:rsidR="00847567" w:rsidTr="00847567">
        <w:tc>
          <w:tcPr>
            <w:tcW w:w="1417" w:type="dxa"/>
            <w:shd w:val="clear" w:color="auto" w:fill="D6E3BC" w:themeFill="accent3" w:themeFillTint="66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sz w:val="20"/>
                <w:szCs w:val="24"/>
                <w:lang w:eastAsia="en-US"/>
              </w:rPr>
              <w:t>Total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b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4"/>
                <w:lang w:eastAsia="en-US"/>
              </w:rPr>
              <w:t>10 396 695 031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b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4"/>
                <w:lang w:eastAsia="en-US"/>
              </w:rPr>
              <w:t>10 040 969 549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b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4"/>
                <w:lang w:eastAsia="en-US"/>
              </w:rPr>
              <w:t>936 413 000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47567" w:rsidRPr="00847567" w:rsidRDefault="00847567" w:rsidP="00847567">
            <w:pPr>
              <w:spacing w:line="360" w:lineRule="auto"/>
              <w:jc w:val="center"/>
              <w:rPr>
                <w:rFonts w:cs="Arial"/>
                <w:b/>
                <w:sz w:val="20"/>
                <w:szCs w:val="24"/>
                <w:lang w:eastAsia="en-US"/>
              </w:rPr>
            </w:pPr>
            <w:r w:rsidRPr="00847567">
              <w:rPr>
                <w:rFonts w:cs="Arial"/>
                <w:b/>
                <w:sz w:val="20"/>
                <w:szCs w:val="24"/>
                <w:lang w:eastAsia="en-US"/>
              </w:rPr>
              <w:t>1 045 455 168</w:t>
            </w:r>
          </w:p>
        </w:tc>
      </w:tr>
    </w:tbl>
    <w:p w:rsidR="00D47536" w:rsidRPr="005F1CFF" w:rsidRDefault="00D47536" w:rsidP="00847567">
      <w:pPr>
        <w:spacing w:line="360" w:lineRule="auto"/>
        <w:rPr>
          <w:rFonts w:cs="Arial"/>
          <w:sz w:val="24"/>
          <w:szCs w:val="24"/>
          <w:lang w:eastAsia="en-US"/>
        </w:rPr>
      </w:pPr>
    </w:p>
    <w:sectPr w:rsidR="00D47536" w:rsidRPr="005F1CFF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73" w:rsidRDefault="00C71D73" w:rsidP="00B01072">
      <w:r>
        <w:separator/>
      </w:r>
    </w:p>
  </w:endnote>
  <w:endnote w:type="continuationSeparator" w:id="0">
    <w:p w:rsidR="00C71D73" w:rsidRDefault="00C71D73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29301E">
      <w:rPr>
        <w:rFonts w:eastAsiaTheme="majorEastAsia" w:cs="Arial"/>
        <w:b/>
        <w:sz w:val="18"/>
        <w:szCs w:val="18"/>
      </w:rPr>
      <w:t>IONAL ASSEMBLY QUESTION NO. 3884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550A0F" w:rsidRPr="00550A0F">
      <w:rPr>
        <w:rFonts w:eastAsia="Calibri" w:cs="Arial"/>
        <w:b/>
        <w:bCs/>
        <w:sz w:val="18"/>
        <w:szCs w:val="18"/>
        <w:lang w:val="af-ZA" w:eastAsia="en-US"/>
      </w:rPr>
      <w:t>Ms N V Mente (EFF)</w:t>
    </w:r>
    <w:r w:rsidR="009571E4" w:rsidRPr="009571E4">
      <w:rPr>
        <w:rFonts w:eastAsia="Calibri" w:cs="Arial"/>
        <w:b/>
        <w:bCs/>
        <w:sz w:val="18"/>
        <w:szCs w:val="18"/>
        <w:lang w:val="af-ZA" w:eastAsia="en-US"/>
      </w:rPr>
      <w:t xml:space="preserve">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B16627" w:rsidRPr="00B16627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C71D73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73" w:rsidRDefault="00C71D73" w:rsidP="00B01072">
      <w:r>
        <w:separator/>
      </w:r>
    </w:p>
  </w:footnote>
  <w:footnote w:type="continuationSeparator" w:id="0">
    <w:p w:rsidR="00C71D73" w:rsidRDefault="00C71D73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7" w15:restartNumberingAfterBreak="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6" w15:restartNumberingAfterBreak="0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37"/>
  </w:num>
  <w:num w:numId="5">
    <w:abstractNumId w:val="19"/>
  </w:num>
  <w:num w:numId="6">
    <w:abstractNumId w:val="2"/>
  </w:num>
  <w:num w:numId="7">
    <w:abstractNumId w:val="26"/>
  </w:num>
  <w:num w:numId="8">
    <w:abstractNumId w:val="13"/>
  </w:num>
  <w:num w:numId="9">
    <w:abstractNumId w:val="31"/>
  </w:num>
  <w:num w:numId="10">
    <w:abstractNumId w:val="15"/>
  </w:num>
  <w:num w:numId="11">
    <w:abstractNumId w:val="32"/>
  </w:num>
  <w:num w:numId="12">
    <w:abstractNumId w:val="8"/>
  </w:num>
  <w:num w:numId="13">
    <w:abstractNumId w:val="17"/>
  </w:num>
  <w:num w:numId="14">
    <w:abstractNumId w:val="35"/>
  </w:num>
  <w:num w:numId="15">
    <w:abstractNumId w:val="0"/>
  </w:num>
  <w:num w:numId="16">
    <w:abstractNumId w:val="5"/>
  </w:num>
  <w:num w:numId="17">
    <w:abstractNumId w:val="30"/>
  </w:num>
  <w:num w:numId="18">
    <w:abstractNumId w:val="33"/>
  </w:num>
  <w:num w:numId="19">
    <w:abstractNumId w:val="18"/>
  </w:num>
  <w:num w:numId="20">
    <w:abstractNumId w:val="3"/>
  </w:num>
  <w:num w:numId="21">
    <w:abstractNumId w:val="24"/>
  </w:num>
  <w:num w:numId="22">
    <w:abstractNumId w:val="1"/>
  </w:num>
  <w:num w:numId="23">
    <w:abstractNumId w:val="34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12"/>
  </w:num>
  <w:num w:numId="29">
    <w:abstractNumId w:val="11"/>
  </w:num>
  <w:num w:numId="30">
    <w:abstractNumId w:val="28"/>
  </w:num>
  <w:num w:numId="31">
    <w:abstractNumId w:val="25"/>
  </w:num>
  <w:num w:numId="32">
    <w:abstractNumId w:val="6"/>
  </w:num>
  <w:num w:numId="33">
    <w:abstractNumId w:val="22"/>
  </w:num>
  <w:num w:numId="34">
    <w:abstractNumId w:val="27"/>
  </w:num>
  <w:num w:numId="35">
    <w:abstractNumId w:val="36"/>
  </w:num>
  <w:num w:numId="36">
    <w:abstractNumId w:val="9"/>
  </w:num>
  <w:num w:numId="37">
    <w:abstractNumId w:val="20"/>
  </w:num>
  <w:num w:numId="38">
    <w:abstractNumId w:val="4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C85"/>
    <w:rsid w:val="00074F49"/>
    <w:rsid w:val="00076BCC"/>
    <w:rsid w:val="00086349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229B7"/>
    <w:rsid w:val="002265CB"/>
    <w:rsid w:val="0023195F"/>
    <w:rsid w:val="00232D48"/>
    <w:rsid w:val="00243357"/>
    <w:rsid w:val="002458D7"/>
    <w:rsid w:val="00257D56"/>
    <w:rsid w:val="00275F2F"/>
    <w:rsid w:val="002837A2"/>
    <w:rsid w:val="00291BC2"/>
    <w:rsid w:val="0029301E"/>
    <w:rsid w:val="00294275"/>
    <w:rsid w:val="00296C6F"/>
    <w:rsid w:val="002A3DCF"/>
    <w:rsid w:val="002A5D13"/>
    <w:rsid w:val="002B2F32"/>
    <w:rsid w:val="002C175C"/>
    <w:rsid w:val="002C603A"/>
    <w:rsid w:val="002C7394"/>
    <w:rsid w:val="002E6B86"/>
    <w:rsid w:val="00302C99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AC2"/>
    <w:rsid w:val="0035503F"/>
    <w:rsid w:val="003718A9"/>
    <w:rsid w:val="003731CC"/>
    <w:rsid w:val="00382C94"/>
    <w:rsid w:val="00385CC5"/>
    <w:rsid w:val="003930E2"/>
    <w:rsid w:val="003A0AD7"/>
    <w:rsid w:val="003D262F"/>
    <w:rsid w:val="003D3567"/>
    <w:rsid w:val="003D3867"/>
    <w:rsid w:val="003E2910"/>
    <w:rsid w:val="003E3BD3"/>
    <w:rsid w:val="003E5694"/>
    <w:rsid w:val="003F3ABB"/>
    <w:rsid w:val="003F628A"/>
    <w:rsid w:val="003F6C7B"/>
    <w:rsid w:val="004079CA"/>
    <w:rsid w:val="00413C62"/>
    <w:rsid w:val="00432C4E"/>
    <w:rsid w:val="004342FE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B4593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61F7"/>
    <w:rsid w:val="00513712"/>
    <w:rsid w:val="0052239F"/>
    <w:rsid w:val="00531D8A"/>
    <w:rsid w:val="005330F9"/>
    <w:rsid w:val="0053382B"/>
    <w:rsid w:val="00540DA6"/>
    <w:rsid w:val="005449EC"/>
    <w:rsid w:val="00550A0F"/>
    <w:rsid w:val="00560E8F"/>
    <w:rsid w:val="00563D73"/>
    <w:rsid w:val="00574AE0"/>
    <w:rsid w:val="0057746F"/>
    <w:rsid w:val="00591850"/>
    <w:rsid w:val="005940D1"/>
    <w:rsid w:val="005B1E2B"/>
    <w:rsid w:val="005B286F"/>
    <w:rsid w:val="005B2D19"/>
    <w:rsid w:val="005C570C"/>
    <w:rsid w:val="005C699E"/>
    <w:rsid w:val="005D1762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76EF"/>
    <w:rsid w:val="00670BA5"/>
    <w:rsid w:val="00675570"/>
    <w:rsid w:val="00683024"/>
    <w:rsid w:val="00684BB6"/>
    <w:rsid w:val="00685646"/>
    <w:rsid w:val="00694DF7"/>
    <w:rsid w:val="006A027A"/>
    <w:rsid w:val="006A05C9"/>
    <w:rsid w:val="006B79CB"/>
    <w:rsid w:val="006C1F95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60875"/>
    <w:rsid w:val="0077480B"/>
    <w:rsid w:val="00776CD0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7567"/>
    <w:rsid w:val="0085572D"/>
    <w:rsid w:val="008717E7"/>
    <w:rsid w:val="00873D00"/>
    <w:rsid w:val="00873D6D"/>
    <w:rsid w:val="0088064A"/>
    <w:rsid w:val="0089342B"/>
    <w:rsid w:val="00897581"/>
    <w:rsid w:val="008A28F5"/>
    <w:rsid w:val="008A4354"/>
    <w:rsid w:val="008B3660"/>
    <w:rsid w:val="008C472C"/>
    <w:rsid w:val="008D1494"/>
    <w:rsid w:val="008D5076"/>
    <w:rsid w:val="008F177A"/>
    <w:rsid w:val="008F3C78"/>
    <w:rsid w:val="009148F7"/>
    <w:rsid w:val="00915F23"/>
    <w:rsid w:val="00916D71"/>
    <w:rsid w:val="00926BCD"/>
    <w:rsid w:val="009335B8"/>
    <w:rsid w:val="00940E46"/>
    <w:rsid w:val="00956AE8"/>
    <w:rsid w:val="009571E4"/>
    <w:rsid w:val="00957952"/>
    <w:rsid w:val="00964E55"/>
    <w:rsid w:val="00970F77"/>
    <w:rsid w:val="00976436"/>
    <w:rsid w:val="00980BB4"/>
    <w:rsid w:val="009826A5"/>
    <w:rsid w:val="00986B9E"/>
    <w:rsid w:val="00993C29"/>
    <w:rsid w:val="00997315"/>
    <w:rsid w:val="009A121F"/>
    <w:rsid w:val="009A34AE"/>
    <w:rsid w:val="009A4F0E"/>
    <w:rsid w:val="009B07DF"/>
    <w:rsid w:val="009B418A"/>
    <w:rsid w:val="009B7DB2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3487"/>
    <w:rsid w:val="00A852C4"/>
    <w:rsid w:val="00A86DF9"/>
    <w:rsid w:val="00A9155C"/>
    <w:rsid w:val="00A91F96"/>
    <w:rsid w:val="00A95EB6"/>
    <w:rsid w:val="00AA0441"/>
    <w:rsid w:val="00AA0455"/>
    <w:rsid w:val="00AB5C12"/>
    <w:rsid w:val="00AB67C6"/>
    <w:rsid w:val="00AB6C4C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10DDB"/>
    <w:rsid w:val="00B10EA2"/>
    <w:rsid w:val="00B16627"/>
    <w:rsid w:val="00B23D7D"/>
    <w:rsid w:val="00B32F50"/>
    <w:rsid w:val="00B33183"/>
    <w:rsid w:val="00B44E3D"/>
    <w:rsid w:val="00B510CE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71D73"/>
    <w:rsid w:val="00C734C8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33E8"/>
    <w:rsid w:val="00D15ADE"/>
    <w:rsid w:val="00D2038B"/>
    <w:rsid w:val="00D20CFA"/>
    <w:rsid w:val="00D26A6A"/>
    <w:rsid w:val="00D377B6"/>
    <w:rsid w:val="00D41166"/>
    <w:rsid w:val="00D42FF6"/>
    <w:rsid w:val="00D43797"/>
    <w:rsid w:val="00D47536"/>
    <w:rsid w:val="00D47C64"/>
    <w:rsid w:val="00D51778"/>
    <w:rsid w:val="00D51D6B"/>
    <w:rsid w:val="00D53CF9"/>
    <w:rsid w:val="00D712DD"/>
    <w:rsid w:val="00D74A2D"/>
    <w:rsid w:val="00D82A5F"/>
    <w:rsid w:val="00D86A1E"/>
    <w:rsid w:val="00D9548C"/>
    <w:rsid w:val="00DA1BD0"/>
    <w:rsid w:val="00DA5567"/>
    <w:rsid w:val="00DB2A96"/>
    <w:rsid w:val="00DB350C"/>
    <w:rsid w:val="00DB3960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26CF"/>
    <w:rsid w:val="00E60FD3"/>
    <w:rsid w:val="00E66692"/>
    <w:rsid w:val="00E74EEE"/>
    <w:rsid w:val="00E779E4"/>
    <w:rsid w:val="00E808B7"/>
    <w:rsid w:val="00E85BBD"/>
    <w:rsid w:val="00E8666B"/>
    <w:rsid w:val="00EA26C6"/>
    <w:rsid w:val="00EA2BCB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BB6A-360C-498E-AF0D-209F0CDC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Michael  Plaatjies</cp:lastModifiedBy>
  <cp:revision>2</cp:revision>
  <cp:lastPrinted>2018-03-23T09:28:00Z</cp:lastPrinted>
  <dcterms:created xsi:type="dcterms:W3CDTF">2018-12-31T14:36:00Z</dcterms:created>
  <dcterms:modified xsi:type="dcterms:W3CDTF">2018-12-31T14:36:00Z</dcterms:modified>
</cp:coreProperties>
</file>