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9"/>
        </w:rPr>
      </w:pPr>
    </w:p>
    <w:p>
      <w:pPr>
        <w:pStyle w:val="BodyText"/>
        <w:spacing w:line="36" w:lineRule="exact"/>
        <w:ind w:left="122"/>
        <w:rPr>
          <w:rFonts w:ascii="Times New Roman"/>
          <w:sz w:val="3"/>
        </w:rPr>
      </w:pPr>
      <w:r>
        <w:rPr>
          <w:rFonts w:ascii="Times New Roman"/>
          <w:position w:val="0"/>
          <w:sz w:val="3"/>
        </w:rPr>
        <w:pict>
          <v:group style="width:445.25pt;height:1.8pt;mso-position-horizontal-relative:char;mso-position-vertical-relative:line" id="docshapegroup1" coordorigin="0,0" coordsize="8905,36">
            <v:shape style="position:absolute;left:0;top:17;width:8905;height:2" id="docshape2" coordorigin="0,18" coordsize="8905,0" path="m0,18l8013,18m8015,18l8904,18e" filled="false" stroked="true" strokeweight="1.78356pt" strokecolor="#000000">
              <v:path arrowok="t"/>
              <v:stroke dashstyle="solid"/>
            </v:shape>
          </v:group>
        </w:pict>
      </w:r>
      <w:r>
        <w:rPr>
          <w:rFonts w:ascii="Times New Roman"/>
          <w:position w:val="0"/>
          <w:sz w:val="3"/>
        </w:rPr>
      </w:r>
    </w:p>
    <w:p>
      <w:pPr>
        <w:pStyle w:val="BodyText"/>
        <w:spacing w:before="7"/>
        <w:rPr>
          <w:rFonts w:ascii="Times New Roman"/>
          <w:sz w:val="16"/>
        </w:rPr>
      </w:pPr>
    </w:p>
    <w:p>
      <w:pPr>
        <w:tabs>
          <w:tab w:pos="5608" w:val="left" w:leader="none"/>
        </w:tabs>
        <w:spacing w:line="484" w:lineRule="auto" w:before="93"/>
        <w:ind w:left="2728" w:right="2722" w:hanging="7"/>
        <w:jc w:val="center"/>
        <w:rPr>
          <w:b/>
          <w:sz w:val="24"/>
        </w:rPr>
      </w:pPr>
      <w:r>
        <w:rPr>
          <w:b/>
          <w:sz w:val="24"/>
        </w:rPr>
        <w:t>NATIONAL ASSEMBLY QUESTION</w:t>
      </w:r>
      <w:r>
        <w:rPr>
          <w:b/>
          <w:spacing w:val="-11"/>
          <w:sz w:val="24"/>
        </w:rPr>
        <w:t> </w:t>
      </w:r>
      <w:r>
        <w:rPr>
          <w:b/>
          <w:sz w:val="24"/>
        </w:rPr>
        <w:t>FOR</w:t>
      </w:r>
      <w:r>
        <w:rPr>
          <w:b/>
          <w:spacing w:val="-13"/>
          <w:sz w:val="24"/>
        </w:rPr>
        <w:t> </w:t>
      </w:r>
      <w:r>
        <w:rPr>
          <w:b/>
          <w:sz w:val="24"/>
        </w:rPr>
        <w:t>WRITTEN</w:t>
      </w:r>
      <w:r>
        <w:rPr>
          <w:b/>
          <w:spacing w:val="-11"/>
          <w:sz w:val="24"/>
        </w:rPr>
        <w:t> </w:t>
      </w:r>
      <w:r>
        <w:rPr>
          <w:b/>
          <w:sz w:val="24"/>
        </w:rPr>
        <w:t>REPLY QUESTION NUMBER:</w:t>
        <w:tab/>
      </w:r>
      <w:r>
        <w:rPr>
          <w:b/>
          <w:spacing w:val="-4"/>
          <w:sz w:val="24"/>
        </w:rPr>
        <w:t>3882</w:t>
      </w:r>
    </w:p>
    <w:p>
      <w:pPr>
        <w:spacing w:line="345" w:lineRule="auto" w:before="0"/>
        <w:ind w:left="233" w:right="226" w:firstLine="0"/>
        <w:jc w:val="center"/>
        <w:rPr>
          <w:b/>
          <w:sz w:val="24"/>
        </w:rPr>
      </w:pPr>
      <w:r>
        <w:rPr/>
        <w:pict>
          <v:rect style="position:absolute;margin-left:70.584pt;margin-top:34.655869pt;width:454.27pt;height:1.44pt;mso-position-horizontal-relative:page;mso-position-vertical-relative:paragraph;z-index:-15763968" id="docshape3" filled="true" fillcolor="#000000" stroked="false">
            <v:fill type="solid"/>
            <w10:wrap type="none"/>
          </v:rect>
        </w:pict>
      </w:r>
      <w:r>
        <w:rPr>
          <w:b/>
          <w:sz w:val="24"/>
        </w:rPr>
        <w:t>DATE</w:t>
      </w:r>
      <w:r>
        <w:rPr>
          <w:b/>
          <w:spacing w:val="-4"/>
          <w:sz w:val="24"/>
        </w:rPr>
        <w:t> </w:t>
      </w:r>
      <w:r>
        <w:rPr>
          <w:b/>
          <w:sz w:val="24"/>
        </w:rPr>
        <w:t>OF</w:t>
      </w:r>
      <w:r>
        <w:rPr>
          <w:b/>
          <w:spacing w:val="-4"/>
          <w:sz w:val="24"/>
        </w:rPr>
        <w:t> </w:t>
      </w:r>
      <w:r>
        <w:rPr>
          <w:b/>
          <w:sz w:val="24"/>
        </w:rPr>
        <w:t>PUBLICATION</w:t>
      </w:r>
      <w:r>
        <w:rPr>
          <w:b/>
          <w:spacing w:val="-4"/>
          <w:sz w:val="24"/>
        </w:rPr>
        <w:t> </w:t>
      </w:r>
      <w:r>
        <w:rPr>
          <w:b/>
          <w:sz w:val="24"/>
        </w:rPr>
        <w:t>IN</w:t>
      </w:r>
      <w:r>
        <w:rPr>
          <w:b/>
          <w:spacing w:val="-4"/>
          <w:sz w:val="24"/>
        </w:rPr>
        <w:t> </w:t>
      </w:r>
      <w:r>
        <w:rPr>
          <w:b/>
          <w:sz w:val="24"/>
        </w:rPr>
        <w:t>INTERNAL</w:t>
      </w:r>
      <w:r>
        <w:rPr>
          <w:b/>
          <w:spacing w:val="-4"/>
          <w:sz w:val="24"/>
        </w:rPr>
        <w:t> </w:t>
      </w:r>
      <w:r>
        <w:rPr>
          <w:b/>
          <w:sz w:val="24"/>
        </w:rPr>
        <w:t>QUESTION</w:t>
      </w:r>
      <w:r>
        <w:rPr>
          <w:b/>
          <w:spacing w:val="-4"/>
          <w:sz w:val="24"/>
        </w:rPr>
        <w:t> </w:t>
      </w:r>
      <w:r>
        <w:rPr>
          <w:b/>
          <w:sz w:val="24"/>
        </w:rPr>
        <w:t>PAPER: 28</w:t>
      </w:r>
      <w:r>
        <w:rPr>
          <w:b/>
          <w:spacing w:val="-3"/>
          <w:sz w:val="24"/>
        </w:rPr>
        <w:t> </w:t>
      </w:r>
      <w:r>
        <w:rPr>
          <w:b/>
          <w:sz w:val="24"/>
        </w:rPr>
        <w:t>OCTOBER</w:t>
      </w:r>
      <w:r>
        <w:rPr>
          <w:b/>
          <w:spacing w:val="-4"/>
          <w:sz w:val="24"/>
        </w:rPr>
        <w:t> </w:t>
      </w:r>
      <w:r>
        <w:rPr>
          <w:b/>
          <w:sz w:val="24"/>
        </w:rPr>
        <w:t>2022 INTERNAL QUESTION PAPER NUMBER: 42 - 2022</w:t>
      </w:r>
    </w:p>
    <w:p>
      <w:pPr>
        <w:pStyle w:val="BodyText"/>
        <w:spacing w:before="8"/>
        <w:rPr>
          <w:b/>
          <w:sz w:val="9"/>
        </w:rPr>
      </w:pPr>
    </w:p>
    <w:p>
      <w:pPr>
        <w:tabs>
          <w:tab w:pos="1558" w:val="left" w:leader="none"/>
        </w:tabs>
        <w:spacing w:before="92"/>
        <w:ind w:left="1558" w:right="166" w:hanging="1419"/>
        <w:jc w:val="left"/>
        <w:rPr>
          <w:b/>
          <w:sz w:val="24"/>
        </w:rPr>
      </w:pPr>
      <w:r>
        <w:rPr>
          <w:b/>
          <w:spacing w:val="-2"/>
          <w:sz w:val="24"/>
        </w:rPr>
        <w:t>3882.</w:t>
      </w:r>
      <w:r>
        <w:rPr>
          <w:b/>
          <w:sz w:val="24"/>
        </w:rPr>
        <w:tab/>
        <w:t>Ms</w:t>
      </w:r>
      <w:r>
        <w:rPr>
          <w:b/>
          <w:spacing w:val="80"/>
          <w:sz w:val="24"/>
        </w:rPr>
        <w:t> </w:t>
      </w:r>
      <w:r>
        <w:rPr>
          <w:b/>
          <w:sz w:val="24"/>
        </w:rPr>
        <w:t>L</w:t>
      </w:r>
      <w:r>
        <w:rPr>
          <w:b/>
          <w:spacing w:val="80"/>
          <w:sz w:val="24"/>
        </w:rPr>
        <w:t> </w:t>
      </w:r>
      <w:r>
        <w:rPr>
          <w:b/>
          <w:sz w:val="24"/>
        </w:rPr>
        <w:t>L</w:t>
      </w:r>
      <w:r>
        <w:rPr>
          <w:b/>
          <w:spacing w:val="80"/>
          <w:sz w:val="24"/>
        </w:rPr>
        <w:t> </w:t>
      </w:r>
      <w:r>
        <w:rPr>
          <w:b/>
          <w:sz w:val="24"/>
        </w:rPr>
        <w:t>van</w:t>
      </w:r>
      <w:r>
        <w:rPr>
          <w:b/>
          <w:spacing w:val="80"/>
          <w:sz w:val="24"/>
        </w:rPr>
        <w:t> </w:t>
      </w:r>
      <w:r>
        <w:rPr>
          <w:b/>
          <w:sz w:val="24"/>
        </w:rPr>
        <w:t>der</w:t>
      </w:r>
      <w:r>
        <w:rPr>
          <w:b/>
          <w:spacing w:val="80"/>
          <w:sz w:val="24"/>
        </w:rPr>
        <w:t> </w:t>
      </w:r>
      <w:r>
        <w:rPr>
          <w:b/>
          <w:sz w:val="24"/>
        </w:rPr>
        <w:t>Merwe</w:t>
      </w:r>
      <w:r>
        <w:rPr>
          <w:b/>
          <w:spacing w:val="80"/>
          <w:sz w:val="24"/>
        </w:rPr>
        <w:t> </w:t>
      </w:r>
      <w:r>
        <w:rPr>
          <w:b/>
          <w:sz w:val="24"/>
        </w:rPr>
        <w:t>(IFP)</w:t>
      </w:r>
      <w:r>
        <w:rPr>
          <w:b/>
          <w:spacing w:val="80"/>
          <w:sz w:val="24"/>
        </w:rPr>
        <w:t> </w:t>
      </w:r>
      <w:r>
        <w:rPr>
          <w:b/>
          <w:sz w:val="24"/>
        </w:rPr>
        <w:t>to</w:t>
      </w:r>
      <w:r>
        <w:rPr>
          <w:b/>
          <w:spacing w:val="80"/>
          <w:sz w:val="24"/>
        </w:rPr>
        <w:t> </w:t>
      </w:r>
      <w:r>
        <w:rPr>
          <w:b/>
          <w:sz w:val="24"/>
        </w:rPr>
        <w:t>ask</w:t>
      </w:r>
      <w:r>
        <w:rPr>
          <w:b/>
          <w:spacing w:val="80"/>
          <w:sz w:val="24"/>
        </w:rPr>
        <w:t> </w:t>
      </w:r>
      <w:r>
        <w:rPr>
          <w:b/>
          <w:sz w:val="24"/>
        </w:rPr>
        <w:t>the</w:t>
      </w:r>
      <w:r>
        <w:rPr>
          <w:b/>
          <w:spacing w:val="80"/>
          <w:sz w:val="24"/>
        </w:rPr>
        <w:t> </w:t>
      </w:r>
      <w:r>
        <w:rPr>
          <w:b/>
          <w:sz w:val="24"/>
        </w:rPr>
        <w:t>Minister</w:t>
      </w:r>
      <w:r>
        <w:rPr>
          <w:b/>
          <w:spacing w:val="80"/>
          <w:sz w:val="24"/>
        </w:rPr>
        <w:t> </w:t>
      </w:r>
      <w:r>
        <w:rPr>
          <w:b/>
          <w:sz w:val="24"/>
        </w:rPr>
        <w:t>of</w:t>
      </w:r>
      <w:r>
        <w:rPr>
          <w:b/>
          <w:spacing w:val="80"/>
          <w:sz w:val="24"/>
        </w:rPr>
        <w:t> </w:t>
      </w:r>
      <w:r>
        <w:rPr>
          <w:b/>
          <w:sz w:val="24"/>
        </w:rPr>
        <w:t>Social</w:t>
      </w:r>
      <w:r>
        <w:rPr>
          <w:b/>
          <w:spacing w:val="80"/>
          <w:sz w:val="24"/>
        </w:rPr>
        <w:t> </w:t>
      </w:r>
      <w:r>
        <w:rPr>
          <w:b/>
          <w:spacing w:val="-2"/>
          <w:sz w:val="24"/>
        </w:rPr>
        <w:t>Development:</w:t>
      </w:r>
    </w:p>
    <w:p>
      <w:pPr>
        <w:pStyle w:val="BodyText"/>
        <w:spacing w:before="5"/>
        <w:rPr>
          <w:b/>
        </w:rPr>
      </w:pPr>
    </w:p>
    <w:p>
      <w:pPr>
        <w:pStyle w:val="ListParagraph"/>
        <w:numPr>
          <w:ilvl w:val="0"/>
          <w:numId w:val="1"/>
        </w:numPr>
        <w:tabs>
          <w:tab w:pos="1581" w:val="left" w:leader="none"/>
        </w:tabs>
        <w:spacing w:line="240" w:lineRule="auto" w:before="0" w:after="0"/>
        <w:ind w:left="1580" w:right="136" w:hanging="720"/>
        <w:jc w:val="both"/>
        <w:rPr>
          <w:sz w:val="24"/>
        </w:rPr>
      </w:pPr>
      <w:r>
        <w:rPr>
          <w:sz w:val="24"/>
        </w:rPr>
        <w:t>Whether</w:t>
      </w:r>
      <w:r>
        <w:rPr>
          <w:spacing w:val="-2"/>
          <w:sz w:val="24"/>
        </w:rPr>
        <w:t> </w:t>
      </w:r>
      <w:r>
        <w:rPr>
          <w:sz w:val="24"/>
        </w:rPr>
        <w:t>it</w:t>
      </w:r>
      <w:r>
        <w:rPr>
          <w:spacing w:val="-3"/>
          <w:sz w:val="24"/>
        </w:rPr>
        <w:t> </w:t>
      </w:r>
      <w:r>
        <w:rPr>
          <w:sz w:val="24"/>
        </w:rPr>
        <w:t>was</w:t>
      </w:r>
      <w:r>
        <w:rPr>
          <w:spacing w:val="-1"/>
          <w:sz w:val="24"/>
        </w:rPr>
        <w:t> </w:t>
      </w:r>
      <w:r>
        <w:rPr>
          <w:sz w:val="24"/>
        </w:rPr>
        <w:t>the</w:t>
      </w:r>
      <w:r>
        <w:rPr>
          <w:spacing w:val="-1"/>
          <w:sz w:val="24"/>
        </w:rPr>
        <w:t> </w:t>
      </w:r>
      <w:r>
        <w:rPr>
          <w:sz w:val="24"/>
        </w:rPr>
        <w:t>policy</w:t>
      </w:r>
      <w:r>
        <w:rPr>
          <w:spacing w:val="-3"/>
          <w:sz w:val="24"/>
        </w:rPr>
        <w:t> </w:t>
      </w:r>
      <w:r>
        <w:rPr>
          <w:sz w:val="24"/>
        </w:rPr>
        <w:t>position</w:t>
      </w:r>
      <w:r>
        <w:rPr>
          <w:spacing w:val="-2"/>
          <w:sz w:val="24"/>
        </w:rPr>
        <w:t> </w:t>
      </w:r>
      <w:r>
        <w:rPr>
          <w:sz w:val="24"/>
        </w:rPr>
        <w:t>of</w:t>
      </w:r>
      <w:r>
        <w:rPr>
          <w:spacing w:val="-1"/>
          <w:sz w:val="24"/>
        </w:rPr>
        <w:t> </w:t>
      </w:r>
      <w:r>
        <w:rPr>
          <w:sz w:val="24"/>
        </w:rPr>
        <w:t>her</w:t>
      </w:r>
      <w:r>
        <w:rPr>
          <w:spacing w:val="-3"/>
          <w:sz w:val="24"/>
        </w:rPr>
        <w:t> </w:t>
      </w:r>
      <w:r>
        <w:rPr>
          <w:sz w:val="24"/>
        </w:rPr>
        <w:t>department</w:t>
      </w:r>
      <w:r>
        <w:rPr>
          <w:spacing w:val="-1"/>
          <w:sz w:val="24"/>
        </w:rPr>
        <w:t> </w:t>
      </w:r>
      <w:r>
        <w:rPr>
          <w:sz w:val="24"/>
        </w:rPr>
        <w:t>to</w:t>
      </w:r>
      <w:r>
        <w:rPr>
          <w:spacing w:val="-1"/>
          <w:sz w:val="24"/>
        </w:rPr>
        <w:t> </w:t>
      </w:r>
      <w:r>
        <w:rPr>
          <w:sz w:val="24"/>
        </w:rPr>
        <w:t>not </w:t>
      </w:r>
      <w:r>
        <w:rPr>
          <w:color w:val="202020"/>
          <w:sz w:val="24"/>
        </w:rPr>
        <w:t>register</w:t>
      </w:r>
      <w:r>
        <w:rPr>
          <w:color w:val="202020"/>
          <w:spacing w:val="-2"/>
          <w:sz w:val="24"/>
        </w:rPr>
        <w:t> </w:t>
      </w:r>
      <w:r>
        <w:rPr>
          <w:color w:val="202020"/>
          <w:sz w:val="24"/>
        </w:rPr>
        <w:t>new Child and Youth Care Centres (CYCCs) as they were not at capacity, and that no new CYCCs will be funded by and/or registered with her department</w:t>
      </w:r>
      <w:r>
        <w:rPr>
          <w:color w:val="202020"/>
          <w:spacing w:val="-7"/>
          <w:sz w:val="24"/>
        </w:rPr>
        <w:t> </w:t>
      </w:r>
      <w:r>
        <w:rPr>
          <w:color w:val="202020"/>
          <w:sz w:val="24"/>
        </w:rPr>
        <w:t>in</w:t>
      </w:r>
      <w:r>
        <w:rPr>
          <w:color w:val="202020"/>
          <w:spacing w:val="-5"/>
          <w:sz w:val="24"/>
        </w:rPr>
        <w:t> </w:t>
      </w:r>
      <w:r>
        <w:rPr>
          <w:color w:val="202020"/>
          <w:sz w:val="24"/>
        </w:rPr>
        <w:t>the</w:t>
      </w:r>
      <w:r>
        <w:rPr>
          <w:color w:val="202020"/>
          <w:spacing w:val="-7"/>
          <w:sz w:val="24"/>
        </w:rPr>
        <w:t> </w:t>
      </w:r>
      <w:r>
        <w:rPr>
          <w:color w:val="202020"/>
          <w:sz w:val="24"/>
        </w:rPr>
        <w:t>2021-22</w:t>
      </w:r>
      <w:r>
        <w:rPr>
          <w:color w:val="202020"/>
          <w:spacing w:val="-7"/>
          <w:sz w:val="24"/>
        </w:rPr>
        <w:t> </w:t>
      </w:r>
      <w:r>
        <w:rPr>
          <w:color w:val="202020"/>
          <w:sz w:val="24"/>
        </w:rPr>
        <w:t>financial</w:t>
      </w:r>
      <w:r>
        <w:rPr>
          <w:color w:val="202020"/>
          <w:spacing w:val="-4"/>
          <w:sz w:val="24"/>
        </w:rPr>
        <w:t> </w:t>
      </w:r>
      <w:r>
        <w:rPr>
          <w:sz w:val="24"/>
        </w:rPr>
        <w:t>year</w:t>
      </w:r>
      <w:r>
        <w:rPr>
          <w:color w:val="202020"/>
          <w:sz w:val="24"/>
        </w:rPr>
        <w:t>;</w:t>
      </w:r>
      <w:r>
        <w:rPr>
          <w:color w:val="202020"/>
          <w:spacing w:val="-5"/>
          <w:sz w:val="24"/>
        </w:rPr>
        <w:t> </w:t>
      </w:r>
      <w:r>
        <w:rPr>
          <w:color w:val="202020"/>
          <w:sz w:val="24"/>
        </w:rPr>
        <w:t>if</w:t>
      </w:r>
      <w:r>
        <w:rPr>
          <w:color w:val="202020"/>
          <w:spacing w:val="-5"/>
          <w:sz w:val="24"/>
        </w:rPr>
        <w:t> </w:t>
      </w:r>
      <w:r>
        <w:rPr>
          <w:color w:val="202020"/>
          <w:sz w:val="24"/>
        </w:rPr>
        <w:t>not,</w:t>
      </w:r>
      <w:r>
        <w:rPr>
          <w:color w:val="202020"/>
          <w:spacing w:val="-5"/>
          <w:sz w:val="24"/>
        </w:rPr>
        <w:t> </w:t>
      </w:r>
      <w:r>
        <w:rPr>
          <w:color w:val="202020"/>
          <w:sz w:val="24"/>
        </w:rPr>
        <w:t>what</w:t>
      </w:r>
      <w:r>
        <w:rPr>
          <w:color w:val="202020"/>
          <w:spacing w:val="-7"/>
          <w:sz w:val="24"/>
        </w:rPr>
        <w:t> </w:t>
      </w:r>
      <w:r>
        <w:rPr>
          <w:color w:val="202020"/>
          <w:sz w:val="24"/>
        </w:rPr>
        <w:t>evidence</w:t>
      </w:r>
      <w:r>
        <w:rPr>
          <w:color w:val="202020"/>
          <w:spacing w:val="-7"/>
          <w:sz w:val="24"/>
        </w:rPr>
        <w:t> </w:t>
      </w:r>
      <w:r>
        <w:rPr>
          <w:color w:val="202020"/>
          <w:sz w:val="24"/>
        </w:rPr>
        <w:t>does</w:t>
      </w:r>
      <w:r>
        <w:rPr>
          <w:color w:val="202020"/>
          <w:spacing w:val="-8"/>
          <w:sz w:val="24"/>
        </w:rPr>
        <w:t> </w:t>
      </w:r>
      <w:r>
        <w:rPr>
          <w:color w:val="202020"/>
          <w:sz w:val="24"/>
        </w:rPr>
        <w:t>her department have in support of the specified policy position that CYCCs are not at </w:t>
      </w:r>
      <w:r>
        <w:rPr>
          <w:sz w:val="24"/>
        </w:rPr>
        <w:t>capacity</w:t>
      </w:r>
      <w:r>
        <w:rPr>
          <w:color w:val="202020"/>
          <w:sz w:val="24"/>
        </w:rPr>
        <w:t>; if so, what are the relevant details;</w:t>
      </w:r>
    </w:p>
    <w:p>
      <w:pPr>
        <w:pStyle w:val="BodyText"/>
        <w:spacing w:before="3"/>
      </w:pPr>
    </w:p>
    <w:p>
      <w:pPr>
        <w:pStyle w:val="ListParagraph"/>
        <w:numPr>
          <w:ilvl w:val="0"/>
          <w:numId w:val="1"/>
        </w:numPr>
        <w:tabs>
          <w:tab w:pos="1581" w:val="left" w:leader="none"/>
        </w:tabs>
        <w:spacing w:line="240" w:lineRule="auto" w:before="0" w:after="0"/>
        <w:ind w:left="1580" w:right="138" w:hanging="720"/>
        <w:jc w:val="both"/>
        <w:rPr>
          <w:sz w:val="24"/>
        </w:rPr>
      </w:pPr>
      <w:r>
        <w:rPr>
          <w:color w:val="202020"/>
          <w:sz w:val="24"/>
        </w:rPr>
        <w:t>whether it remains the position of her department that it will no longer fund</w:t>
      </w:r>
      <w:r>
        <w:rPr>
          <w:color w:val="202020"/>
          <w:spacing w:val="-7"/>
          <w:sz w:val="24"/>
        </w:rPr>
        <w:t> </w:t>
      </w:r>
      <w:r>
        <w:rPr>
          <w:color w:val="202020"/>
          <w:sz w:val="24"/>
        </w:rPr>
        <w:t>CYCCs;</w:t>
      </w:r>
      <w:r>
        <w:rPr>
          <w:color w:val="202020"/>
          <w:spacing w:val="-7"/>
          <w:sz w:val="24"/>
        </w:rPr>
        <w:t> </w:t>
      </w:r>
      <w:r>
        <w:rPr>
          <w:color w:val="202020"/>
          <w:sz w:val="24"/>
        </w:rPr>
        <w:t>if</w:t>
      </w:r>
      <w:r>
        <w:rPr>
          <w:color w:val="202020"/>
          <w:spacing w:val="-4"/>
          <w:sz w:val="24"/>
        </w:rPr>
        <w:t> </w:t>
      </w:r>
      <w:r>
        <w:rPr>
          <w:sz w:val="24"/>
        </w:rPr>
        <w:t>not</w:t>
      </w:r>
      <w:r>
        <w:rPr>
          <w:color w:val="202020"/>
          <w:sz w:val="24"/>
        </w:rPr>
        <w:t>,</w:t>
      </w:r>
      <w:r>
        <w:rPr>
          <w:color w:val="202020"/>
          <w:spacing w:val="-7"/>
          <w:sz w:val="24"/>
        </w:rPr>
        <w:t> </w:t>
      </w:r>
      <w:r>
        <w:rPr>
          <w:color w:val="202020"/>
          <w:sz w:val="24"/>
        </w:rPr>
        <w:t>what</w:t>
      </w:r>
      <w:r>
        <w:rPr>
          <w:color w:val="202020"/>
          <w:spacing w:val="-7"/>
          <w:sz w:val="24"/>
        </w:rPr>
        <w:t> </w:t>
      </w:r>
      <w:r>
        <w:rPr>
          <w:color w:val="202020"/>
          <w:sz w:val="24"/>
        </w:rPr>
        <w:t>is</w:t>
      </w:r>
      <w:r>
        <w:rPr>
          <w:color w:val="202020"/>
          <w:spacing w:val="-8"/>
          <w:sz w:val="24"/>
        </w:rPr>
        <w:t> </w:t>
      </w:r>
      <w:r>
        <w:rPr>
          <w:color w:val="202020"/>
          <w:sz w:val="24"/>
        </w:rPr>
        <w:t>the</w:t>
      </w:r>
      <w:r>
        <w:rPr>
          <w:color w:val="202020"/>
          <w:spacing w:val="-7"/>
          <w:sz w:val="24"/>
        </w:rPr>
        <w:t> </w:t>
      </w:r>
      <w:r>
        <w:rPr>
          <w:color w:val="202020"/>
          <w:sz w:val="24"/>
        </w:rPr>
        <w:t>position</w:t>
      </w:r>
      <w:r>
        <w:rPr>
          <w:color w:val="202020"/>
          <w:spacing w:val="-7"/>
          <w:sz w:val="24"/>
        </w:rPr>
        <w:t> </w:t>
      </w:r>
      <w:r>
        <w:rPr>
          <w:color w:val="202020"/>
          <w:sz w:val="24"/>
        </w:rPr>
        <w:t>in</w:t>
      </w:r>
      <w:r>
        <w:rPr>
          <w:color w:val="202020"/>
          <w:spacing w:val="-7"/>
          <w:sz w:val="24"/>
        </w:rPr>
        <w:t> </w:t>
      </w:r>
      <w:r>
        <w:rPr>
          <w:color w:val="202020"/>
          <w:sz w:val="24"/>
        </w:rPr>
        <w:t>this</w:t>
      </w:r>
      <w:r>
        <w:rPr>
          <w:color w:val="202020"/>
          <w:spacing w:val="-8"/>
          <w:sz w:val="24"/>
        </w:rPr>
        <w:t> </w:t>
      </w:r>
      <w:r>
        <w:rPr>
          <w:color w:val="202020"/>
          <w:sz w:val="24"/>
        </w:rPr>
        <w:t>regard;</w:t>
      </w:r>
      <w:r>
        <w:rPr>
          <w:color w:val="202020"/>
          <w:spacing w:val="-7"/>
          <w:sz w:val="24"/>
        </w:rPr>
        <w:t> </w:t>
      </w:r>
      <w:r>
        <w:rPr>
          <w:color w:val="202020"/>
          <w:sz w:val="24"/>
        </w:rPr>
        <w:t>if</w:t>
      </w:r>
      <w:r>
        <w:rPr>
          <w:color w:val="202020"/>
          <w:spacing w:val="-6"/>
          <w:sz w:val="24"/>
        </w:rPr>
        <w:t> </w:t>
      </w:r>
      <w:r>
        <w:rPr>
          <w:color w:val="202020"/>
          <w:sz w:val="24"/>
        </w:rPr>
        <w:t>so,</w:t>
      </w:r>
      <w:r>
        <w:rPr>
          <w:color w:val="202020"/>
          <w:spacing w:val="-7"/>
          <w:sz w:val="24"/>
        </w:rPr>
        <w:t> </w:t>
      </w:r>
      <w:r>
        <w:rPr>
          <w:color w:val="202020"/>
          <w:sz w:val="24"/>
        </w:rPr>
        <w:t>what</w:t>
      </w:r>
      <w:r>
        <w:rPr>
          <w:color w:val="202020"/>
          <w:spacing w:val="-7"/>
          <w:sz w:val="24"/>
        </w:rPr>
        <w:t> </w:t>
      </w:r>
      <w:r>
        <w:rPr>
          <w:color w:val="202020"/>
          <w:sz w:val="24"/>
        </w:rPr>
        <w:t>are</w:t>
      </w:r>
      <w:r>
        <w:rPr>
          <w:color w:val="202020"/>
          <w:spacing w:val="-9"/>
          <w:sz w:val="24"/>
        </w:rPr>
        <w:t> </w:t>
      </w:r>
      <w:r>
        <w:rPr>
          <w:color w:val="202020"/>
          <w:sz w:val="24"/>
        </w:rPr>
        <w:t>the relevant details;</w:t>
      </w:r>
    </w:p>
    <w:p>
      <w:pPr>
        <w:pStyle w:val="BodyText"/>
        <w:spacing w:before="5"/>
      </w:pPr>
    </w:p>
    <w:p>
      <w:pPr>
        <w:pStyle w:val="ListParagraph"/>
        <w:numPr>
          <w:ilvl w:val="0"/>
          <w:numId w:val="1"/>
        </w:numPr>
        <w:tabs>
          <w:tab w:pos="1581" w:val="left" w:leader="none"/>
        </w:tabs>
        <w:spacing w:line="240" w:lineRule="auto" w:before="0" w:after="0"/>
        <w:ind w:left="1580" w:right="137" w:hanging="720"/>
        <w:jc w:val="both"/>
        <w:rPr>
          <w:sz w:val="24"/>
        </w:rPr>
      </w:pPr>
      <w:r>
        <w:rPr>
          <w:color w:val="202020"/>
          <w:sz w:val="24"/>
        </w:rPr>
        <w:t>whether her department has the long-term goal to centralise funds into a central account and </w:t>
      </w:r>
      <w:r>
        <w:rPr>
          <w:sz w:val="24"/>
        </w:rPr>
        <w:t>fund </w:t>
      </w:r>
      <w:r>
        <w:rPr>
          <w:color w:val="202020"/>
          <w:sz w:val="24"/>
        </w:rPr>
        <w:t>projects directly without making use of the </w:t>
      </w:r>
      <w:r>
        <w:rPr>
          <w:sz w:val="24"/>
        </w:rPr>
        <w:t>services </w:t>
      </w:r>
      <w:r>
        <w:rPr>
          <w:color w:val="202020"/>
          <w:sz w:val="24"/>
        </w:rPr>
        <w:t>of nongovernmental organisations (NGOs), and/or does her department continue to value its partnership with NGOs and nonprofit organisations;</w:t>
      </w:r>
      <w:r>
        <w:rPr>
          <w:color w:val="202020"/>
          <w:spacing w:val="-12"/>
          <w:sz w:val="24"/>
        </w:rPr>
        <w:t> </w:t>
      </w:r>
      <w:r>
        <w:rPr>
          <w:color w:val="202020"/>
          <w:sz w:val="24"/>
        </w:rPr>
        <w:t>if</w:t>
      </w:r>
      <w:r>
        <w:rPr>
          <w:color w:val="202020"/>
          <w:spacing w:val="-10"/>
          <w:sz w:val="24"/>
        </w:rPr>
        <w:t> </w:t>
      </w:r>
      <w:r>
        <w:rPr>
          <w:color w:val="202020"/>
          <w:sz w:val="24"/>
        </w:rPr>
        <w:t>not,</w:t>
      </w:r>
      <w:r>
        <w:rPr>
          <w:color w:val="202020"/>
          <w:spacing w:val="-10"/>
          <w:sz w:val="24"/>
        </w:rPr>
        <w:t> </w:t>
      </w:r>
      <w:r>
        <w:rPr>
          <w:color w:val="202020"/>
          <w:sz w:val="24"/>
        </w:rPr>
        <w:t>what</w:t>
      </w:r>
      <w:r>
        <w:rPr>
          <w:color w:val="202020"/>
          <w:spacing w:val="-12"/>
          <w:sz w:val="24"/>
        </w:rPr>
        <w:t> </w:t>
      </w:r>
      <w:r>
        <w:rPr>
          <w:color w:val="202020"/>
          <w:sz w:val="24"/>
        </w:rPr>
        <w:t>is</w:t>
      </w:r>
      <w:r>
        <w:rPr>
          <w:color w:val="202020"/>
          <w:spacing w:val="-11"/>
          <w:sz w:val="24"/>
        </w:rPr>
        <w:t> </w:t>
      </w:r>
      <w:r>
        <w:rPr>
          <w:color w:val="202020"/>
          <w:sz w:val="24"/>
        </w:rPr>
        <w:t>the</w:t>
      </w:r>
      <w:r>
        <w:rPr>
          <w:color w:val="202020"/>
          <w:spacing w:val="-12"/>
          <w:sz w:val="24"/>
        </w:rPr>
        <w:t> </w:t>
      </w:r>
      <w:r>
        <w:rPr>
          <w:color w:val="202020"/>
          <w:sz w:val="24"/>
        </w:rPr>
        <w:t>position</w:t>
      </w:r>
      <w:r>
        <w:rPr>
          <w:color w:val="202020"/>
          <w:spacing w:val="-9"/>
          <w:sz w:val="24"/>
        </w:rPr>
        <w:t> </w:t>
      </w:r>
      <w:r>
        <w:rPr>
          <w:color w:val="202020"/>
          <w:sz w:val="24"/>
        </w:rPr>
        <w:t>in</w:t>
      </w:r>
      <w:r>
        <w:rPr>
          <w:color w:val="202020"/>
          <w:spacing w:val="-12"/>
          <w:sz w:val="24"/>
        </w:rPr>
        <w:t> </w:t>
      </w:r>
      <w:r>
        <w:rPr>
          <w:color w:val="202020"/>
          <w:sz w:val="24"/>
        </w:rPr>
        <w:t>each</w:t>
      </w:r>
      <w:r>
        <w:rPr>
          <w:color w:val="202020"/>
          <w:spacing w:val="-9"/>
          <w:sz w:val="24"/>
        </w:rPr>
        <w:t> </w:t>
      </w:r>
      <w:r>
        <w:rPr>
          <w:color w:val="202020"/>
          <w:sz w:val="24"/>
        </w:rPr>
        <w:t>case;</w:t>
      </w:r>
      <w:r>
        <w:rPr>
          <w:color w:val="202020"/>
          <w:spacing w:val="-10"/>
          <w:sz w:val="24"/>
        </w:rPr>
        <w:t> </w:t>
      </w:r>
      <w:r>
        <w:rPr>
          <w:color w:val="202020"/>
          <w:sz w:val="24"/>
        </w:rPr>
        <w:t>if</w:t>
      </w:r>
      <w:r>
        <w:rPr>
          <w:color w:val="202020"/>
          <w:spacing w:val="-10"/>
          <w:sz w:val="24"/>
        </w:rPr>
        <w:t> </w:t>
      </w:r>
      <w:r>
        <w:rPr>
          <w:color w:val="202020"/>
          <w:sz w:val="24"/>
        </w:rPr>
        <w:t>so,</w:t>
      </w:r>
      <w:r>
        <w:rPr>
          <w:color w:val="202020"/>
          <w:spacing w:val="-10"/>
          <w:sz w:val="24"/>
        </w:rPr>
        <w:t> </w:t>
      </w:r>
      <w:r>
        <w:rPr>
          <w:color w:val="202020"/>
          <w:sz w:val="24"/>
        </w:rPr>
        <w:t>what</w:t>
      </w:r>
      <w:r>
        <w:rPr>
          <w:color w:val="202020"/>
          <w:spacing w:val="-12"/>
          <w:sz w:val="24"/>
        </w:rPr>
        <w:t> </w:t>
      </w:r>
      <w:r>
        <w:rPr>
          <w:color w:val="202020"/>
          <w:sz w:val="24"/>
        </w:rPr>
        <w:t>are</w:t>
      </w:r>
      <w:r>
        <w:rPr>
          <w:color w:val="202020"/>
          <w:spacing w:val="-12"/>
          <w:sz w:val="24"/>
        </w:rPr>
        <w:t> </w:t>
      </w:r>
      <w:r>
        <w:rPr>
          <w:color w:val="202020"/>
          <w:sz w:val="24"/>
        </w:rPr>
        <w:t>the relevant details in each case</w:t>
      </w:r>
      <w:r>
        <w:rPr>
          <w:sz w:val="24"/>
        </w:rPr>
        <w:t>?</w:t>
      </w:r>
      <w:r>
        <w:rPr>
          <w:spacing w:val="80"/>
          <w:w w:val="150"/>
          <w:sz w:val="24"/>
        </w:rPr>
        <w:t>  </w:t>
      </w:r>
      <w:r>
        <w:rPr>
          <w:sz w:val="24"/>
        </w:rPr>
        <w:t>NW</w:t>
      </w:r>
      <w:r>
        <w:rPr>
          <w:color w:val="202020"/>
          <w:sz w:val="24"/>
        </w:rPr>
        <w:t>4840E</w:t>
      </w:r>
    </w:p>
    <w:p>
      <w:pPr>
        <w:pStyle w:val="BodyText"/>
        <w:rPr>
          <w:sz w:val="26"/>
        </w:rPr>
      </w:pPr>
    </w:p>
    <w:p>
      <w:pPr>
        <w:pStyle w:val="BodyText"/>
        <w:spacing w:before="5"/>
        <w:rPr>
          <w:sz w:val="22"/>
        </w:rPr>
      </w:pPr>
    </w:p>
    <w:p>
      <w:pPr>
        <w:spacing w:before="0"/>
        <w:ind w:left="140" w:right="0" w:firstLine="0"/>
        <w:jc w:val="left"/>
        <w:rPr>
          <w:b/>
          <w:sz w:val="24"/>
        </w:rPr>
      </w:pPr>
      <w:r>
        <w:rPr>
          <w:b/>
          <w:spacing w:val="-2"/>
          <w:sz w:val="24"/>
        </w:rPr>
        <w:t>REPLY:</w:t>
      </w:r>
    </w:p>
    <w:p>
      <w:pPr>
        <w:pStyle w:val="BodyText"/>
        <w:rPr>
          <w:b/>
          <w:sz w:val="26"/>
        </w:rPr>
      </w:pPr>
    </w:p>
    <w:p>
      <w:pPr>
        <w:pStyle w:val="ListParagraph"/>
        <w:numPr>
          <w:ilvl w:val="1"/>
          <w:numId w:val="1"/>
        </w:numPr>
        <w:tabs>
          <w:tab w:pos="1701" w:val="left" w:leader="none"/>
        </w:tabs>
        <w:spacing w:line="276" w:lineRule="auto" w:before="218" w:after="0"/>
        <w:ind w:left="1700" w:right="136" w:hanging="720"/>
        <w:jc w:val="both"/>
        <w:rPr>
          <w:sz w:val="24"/>
        </w:rPr>
      </w:pPr>
      <w:r>
        <w:rPr>
          <w:sz w:val="24"/>
        </w:rPr>
        <w:t>The</w:t>
      </w:r>
      <w:r>
        <w:rPr>
          <w:spacing w:val="-14"/>
          <w:sz w:val="24"/>
        </w:rPr>
        <w:t> </w:t>
      </w:r>
      <w:r>
        <w:rPr>
          <w:sz w:val="24"/>
        </w:rPr>
        <w:t>Provincial</w:t>
      </w:r>
      <w:r>
        <w:rPr>
          <w:spacing w:val="-14"/>
          <w:sz w:val="24"/>
        </w:rPr>
        <w:t> </w:t>
      </w:r>
      <w:r>
        <w:rPr>
          <w:sz w:val="24"/>
        </w:rPr>
        <w:t>Departments</w:t>
      </w:r>
      <w:r>
        <w:rPr>
          <w:spacing w:val="-15"/>
          <w:sz w:val="24"/>
        </w:rPr>
        <w:t> </w:t>
      </w:r>
      <w:r>
        <w:rPr>
          <w:sz w:val="24"/>
        </w:rPr>
        <w:t>of</w:t>
      </w:r>
      <w:r>
        <w:rPr>
          <w:spacing w:val="-12"/>
          <w:sz w:val="24"/>
        </w:rPr>
        <w:t> </w:t>
      </w:r>
      <w:r>
        <w:rPr>
          <w:sz w:val="24"/>
        </w:rPr>
        <w:t>Social</w:t>
      </w:r>
      <w:r>
        <w:rPr>
          <w:spacing w:val="-15"/>
          <w:sz w:val="24"/>
        </w:rPr>
        <w:t> </w:t>
      </w:r>
      <w:r>
        <w:rPr>
          <w:sz w:val="24"/>
        </w:rPr>
        <w:t>Development</w:t>
      </w:r>
      <w:r>
        <w:rPr>
          <w:spacing w:val="-12"/>
          <w:sz w:val="24"/>
        </w:rPr>
        <w:t> </w:t>
      </w:r>
      <w:r>
        <w:rPr>
          <w:sz w:val="24"/>
        </w:rPr>
        <w:t>continue</w:t>
      </w:r>
      <w:r>
        <w:rPr>
          <w:spacing w:val="-14"/>
          <w:sz w:val="24"/>
        </w:rPr>
        <w:t> </w:t>
      </w:r>
      <w:r>
        <w:rPr>
          <w:sz w:val="24"/>
        </w:rPr>
        <w:t>to</w:t>
      </w:r>
      <w:r>
        <w:rPr>
          <w:spacing w:val="-13"/>
          <w:sz w:val="24"/>
        </w:rPr>
        <w:t> </w:t>
      </w:r>
      <w:r>
        <w:rPr>
          <w:sz w:val="24"/>
        </w:rPr>
        <w:t>register new Child and Youth Care Centres (CYCCs) that meet the minimum norms and standard as per the relevant legislation. There is no policy</w:t>
      </w:r>
    </w:p>
    <w:p>
      <w:pPr>
        <w:spacing w:after="0" w:line="276" w:lineRule="auto"/>
        <w:jc w:val="both"/>
        <w:rPr>
          <w:sz w:val="24"/>
        </w:rPr>
        <w:sectPr>
          <w:headerReference w:type="default" r:id="rId5"/>
          <w:type w:val="continuous"/>
          <w:pgSz w:w="11910" w:h="16840"/>
          <w:pgMar w:header="865" w:footer="0" w:top="3260" w:bottom="280" w:left="1300" w:right="1300"/>
          <w:pgNumType w:start="1"/>
        </w:sectPr>
      </w:pPr>
    </w:p>
    <w:p>
      <w:pPr>
        <w:pStyle w:val="BodyText"/>
        <w:spacing w:line="276" w:lineRule="auto" w:before="135"/>
        <w:ind w:left="1700" w:right="135"/>
        <w:jc w:val="both"/>
      </w:pPr>
      <w:r>
        <w:rPr/>
        <w:t>position that the department will not register or fund new Child and Youth Care Centres for 2021/2022 financial year.</w:t>
      </w:r>
    </w:p>
    <w:p>
      <w:pPr>
        <w:pStyle w:val="BodyText"/>
        <w:spacing w:before="8"/>
        <w:rPr>
          <w:sz w:val="27"/>
        </w:rPr>
      </w:pPr>
    </w:p>
    <w:p>
      <w:pPr>
        <w:pStyle w:val="BodyText"/>
        <w:spacing w:line="276" w:lineRule="auto"/>
        <w:ind w:left="1700" w:right="134"/>
        <w:jc w:val="both"/>
      </w:pPr>
      <w:r>
        <w:rPr/>
        <w:t>The department funds CYCCs to provide residential care services to children in need of care and protection. Funding is dependent on the need and availability of budget during a particular financial year. Specific to the Gauteng Department of Social Development (GDSD), the said Provincial Department is reviewing its service delivery modalities in line with the Institutional Re-alignment Project. The said Project is informed by the approved Service Delivery Model and the Organizational Re-alignment</w:t>
      </w:r>
      <w:r>
        <w:rPr/>
        <w:t> which</w:t>
      </w:r>
      <w:r>
        <w:rPr/>
        <w:t> are</w:t>
      </w:r>
      <w:r>
        <w:rPr/>
        <w:t> aligned</w:t>
      </w:r>
      <w:r>
        <w:rPr/>
        <w:t> to</w:t>
      </w:r>
      <w:r>
        <w:rPr/>
        <w:t> the</w:t>
      </w:r>
      <w:r>
        <w:rPr/>
        <w:t> GDSD Organogram.</w:t>
      </w:r>
      <w:r>
        <w:rPr>
          <w:spacing w:val="-3"/>
        </w:rPr>
        <w:t> </w:t>
      </w:r>
      <w:r>
        <w:rPr/>
        <w:t>The</w:t>
      </w:r>
      <w:r>
        <w:rPr>
          <w:spacing w:val="-4"/>
        </w:rPr>
        <w:t> </w:t>
      </w:r>
      <w:r>
        <w:rPr/>
        <w:t>main</w:t>
      </w:r>
      <w:r>
        <w:rPr>
          <w:spacing w:val="-3"/>
        </w:rPr>
        <w:t> </w:t>
      </w:r>
      <w:r>
        <w:rPr/>
        <w:t>aim</w:t>
      </w:r>
      <w:r>
        <w:rPr>
          <w:spacing w:val="-2"/>
        </w:rPr>
        <w:t> </w:t>
      </w:r>
      <w:r>
        <w:rPr/>
        <w:t>of</w:t>
      </w:r>
      <w:r>
        <w:rPr>
          <w:spacing w:val="-3"/>
        </w:rPr>
        <w:t> </w:t>
      </w:r>
      <w:r>
        <w:rPr/>
        <w:t>the GDSD</w:t>
      </w:r>
      <w:r>
        <w:rPr>
          <w:spacing w:val="-6"/>
        </w:rPr>
        <w:t> </w:t>
      </w:r>
      <w:r>
        <w:rPr/>
        <w:t>Project</w:t>
      </w:r>
      <w:r>
        <w:rPr>
          <w:spacing w:val="-2"/>
        </w:rPr>
        <w:t> </w:t>
      </w:r>
      <w:r>
        <w:rPr/>
        <w:t>is</w:t>
      </w:r>
      <w:r>
        <w:rPr>
          <w:spacing w:val="-3"/>
        </w:rPr>
        <w:t> </w:t>
      </w:r>
      <w:r>
        <w:rPr/>
        <w:t>to</w:t>
      </w:r>
      <w:r>
        <w:rPr>
          <w:spacing w:val="-4"/>
        </w:rPr>
        <w:t> </w:t>
      </w:r>
      <w:r>
        <w:rPr/>
        <w:t>build</w:t>
      </w:r>
      <w:r>
        <w:rPr>
          <w:spacing w:val="-3"/>
        </w:rPr>
        <w:t> </w:t>
      </w:r>
      <w:r>
        <w:rPr/>
        <w:t>capacity</w:t>
      </w:r>
      <w:r>
        <w:rPr>
          <w:spacing w:val="-6"/>
        </w:rPr>
        <w:t> </w:t>
      </w:r>
      <w:r>
        <w:rPr/>
        <w:t>of the state towards the delivery of services that are constitutional mandates. This re-alignment will take place from the 2023/2024 financial year, and, will be funded mainly from within the Department. The retrieval of services will not be considered for residential care facilities at this point due to limited capacity on the side of the Department.</w:t>
      </w:r>
      <w:r>
        <w:rPr>
          <w:spacing w:val="-10"/>
        </w:rPr>
        <w:t> </w:t>
      </w:r>
      <w:r>
        <w:rPr/>
        <w:t>This</w:t>
      </w:r>
      <w:r>
        <w:rPr>
          <w:spacing w:val="-11"/>
        </w:rPr>
        <w:t> </w:t>
      </w:r>
      <w:r>
        <w:rPr/>
        <w:t>includes</w:t>
      </w:r>
      <w:r>
        <w:rPr>
          <w:spacing w:val="-8"/>
        </w:rPr>
        <w:t> </w:t>
      </w:r>
      <w:r>
        <w:rPr/>
        <w:t>CYCCs,</w:t>
      </w:r>
      <w:r>
        <w:rPr>
          <w:spacing w:val="-7"/>
        </w:rPr>
        <w:t> </w:t>
      </w:r>
      <w:r>
        <w:rPr/>
        <w:t>Shelters</w:t>
      </w:r>
      <w:r>
        <w:rPr>
          <w:spacing w:val="-11"/>
        </w:rPr>
        <w:t> </w:t>
      </w:r>
      <w:r>
        <w:rPr/>
        <w:t>for</w:t>
      </w:r>
      <w:r>
        <w:rPr>
          <w:spacing w:val="-8"/>
        </w:rPr>
        <w:t> </w:t>
      </w:r>
      <w:r>
        <w:rPr/>
        <w:t>Homeless,</w:t>
      </w:r>
      <w:r>
        <w:rPr>
          <w:spacing w:val="-10"/>
        </w:rPr>
        <w:t> </w:t>
      </w:r>
      <w:r>
        <w:rPr/>
        <w:t>Shelters</w:t>
      </w:r>
      <w:r>
        <w:rPr>
          <w:spacing w:val="-11"/>
        </w:rPr>
        <w:t> </w:t>
      </w:r>
      <w:r>
        <w:rPr/>
        <w:t>for victims of GBV, Residential Facilities for Older Persons, Residential Facilities for Persons with Disabilities, In-patient</w:t>
      </w:r>
      <w:r>
        <w:rPr/>
        <w:t> Treatment Centres and Halfway Houses. Reference to capacity therefore relates to the Gauteng Department of Social Development and not to CYCCs.</w:t>
      </w:r>
    </w:p>
    <w:p>
      <w:pPr>
        <w:pStyle w:val="BodyText"/>
        <w:spacing w:before="1"/>
        <w:rPr>
          <w:sz w:val="36"/>
        </w:rPr>
      </w:pPr>
    </w:p>
    <w:p>
      <w:pPr>
        <w:pStyle w:val="ListParagraph"/>
        <w:numPr>
          <w:ilvl w:val="1"/>
          <w:numId w:val="1"/>
        </w:numPr>
        <w:tabs>
          <w:tab w:pos="1701" w:val="left" w:leader="none"/>
        </w:tabs>
        <w:spacing w:line="276" w:lineRule="auto" w:before="0" w:after="0"/>
        <w:ind w:left="1700" w:right="137" w:hanging="720"/>
        <w:jc w:val="both"/>
        <w:rPr>
          <w:sz w:val="24"/>
        </w:rPr>
      </w:pPr>
      <w:r>
        <w:rPr>
          <w:sz w:val="24"/>
        </w:rPr>
        <w:t>Based on available funding allocated by the Treasuries, the Department will continue to fund CYCCs as well as process their registration as per the legislative prescripts.</w:t>
      </w:r>
    </w:p>
    <w:p>
      <w:pPr>
        <w:pStyle w:val="BodyText"/>
        <w:spacing w:before="7"/>
        <w:rPr>
          <w:sz w:val="27"/>
        </w:rPr>
      </w:pPr>
    </w:p>
    <w:p>
      <w:pPr>
        <w:pStyle w:val="ListParagraph"/>
        <w:numPr>
          <w:ilvl w:val="1"/>
          <w:numId w:val="1"/>
        </w:numPr>
        <w:tabs>
          <w:tab w:pos="1701" w:val="left" w:leader="none"/>
        </w:tabs>
        <w:spacing w:line="276" w:lineRule="auto" w:before="1" w:after="0"/>
        <w:ind w:left="1700" w:right="134" w:hanging="720"/>
        <w:jc w:val="both"/>
        <w:rPr>
          <w:sz w:val="24"/>
        </w:rPr>
      </w:pPr>
      <w:r>
        <w:rPr>
          <w:sz w:val="24"/>
        </w:rPr>
        <w:t>The</w:t>
      </w:r>
      <w:r>
        <w:rPr>
          <w:spacing w:val="-17"/>
          <w:sz w:val="24"/>
        </w:rPr>
        <w:t> </w:t>
      </w:r>
      <w:r>
        <w:rPr>
          <w:sz w:val="24"/>
        </w:rPr>
        <w:t>Department</w:t>
      </w:r>
      <w:r>
        <w:rPr>
          <w:spacing w:val="-15"/>
          <w:sz w:val="24"/>
        </w:rPr>
        <w:t> </w:t>
      </w:r>
      <w:r>
        <w:rPr>
          <w:sz w:val="24"/>
        </w:rPr>
        <w:t>has</w:t>
      </w:r>
      <w:r>
        <w:rPr>
          <w:spacing w:val="-17"/>
          <w:sz w:val="24"/>
        </w:rPr>
        <w:t> </w:t>
      </w:r>
      <w:r>
        <w:rPr>
          <w:sz w:val="24"/>
        </w:rPr>
        <w:t>not</w:t>
      </w:r>
      <w:r>
        <w:rPr>
          <w:spacing w:val="-15"/>
          <w:sz w:val="24"/>
        </w:rPr>
        <w:t> </w:t>
      </w:r>
      <w:r>
        <w:rPr>
          <w:sz w:val="24"/>
        </w:rPr>
        <w:t>explored</w:t>
      </w:r>
      <w:r>
        <w:rPr>
          <w:spacing w:val="-17"/>
          <w:sz w:val="24"/>
        </w:rPr>
        <w:t> </w:t>
      </w:r>
      <w:r>
        <w:rPr>
          <w:sz w:val="24"/>
        </w:rPr>
        <w:t>the</w:t>
      </w:r>
      <w:r>
        <w:rPr>
          <w:spacing w:val="-15"/>
          <w:sz w:val="24"/>
        </w:rPr>
        <w:t> </w:t>
      </w:r>
      <w:r>
        <w:rPr>
          <w:sz w:val="24"/>
        </w:rPr>
        <w:t>long-term</w:t>
      </w:r>
      <w:r>
        <w:rPr>
          <w:spacing w:val="-15"/>
          <w:sz w:val="24"/>
        </w:rPr>
        <w:t> </w:t>
      </w:r>
      <w:r>
        <w:rPr>
          <w:sz w:val="24"/>
        </w:rPr>
        <w:t>goal</w:t>
      </w:r>
      <w:r>
        <w:rPr>
          <w:spacing w:val="-17"/>
          <w:sz w:val="24"/>
        </w:rPr>
        <w:t> </w:t>
      </w:r>
      <w:r>
        <w:rPr>
          <w:sz w:val="24"/>
        </w:rPr>
        <w:t>to</w:t>
      </w:r>
      <w:r>
        <w:rPr>
          <w:spacing w:val="-15"/>
          <w:sz w:val="24"/>
        </w:rPr>
        <w:t> </w:t>
      </w:r>
      <w:r>
        <w:rPr>
          <w:sz w:val="24"/>
        </w:rPr>
        <w:t>centralise</w:t>
      </w:r>
      <w:r>
        <w:rPr>
          <w:spacing w:val="-17"/>
          <w:sz w:val="24"/>
        </w:rPr>
        <w:t> </w:t>
      </w:r>
      <w:r>
        <w:rPr>
          <w:sz w:val="24"/>
        </w:rPr>
        <w:t>funds into</w:t>
      </w:r>
      <w:r>
        <w:rPr>
          <w:spacing w:val="-14"/>
          <w:sz w:val="24"/>
        </w:rPr>
        <w:t> </w:t>
      </w:r>
      <w:r>
        <w:rPr>
          <w:sz w:val="24"/>
        </w:rPr>
        <w:t>a</w:t>
      </w:r>
      <w:r>
        <w:rPr>
          <w:spacing w:val="-14"/>
          <w:sz w:val="24"/>
        </w:rPr>
        <w:t> </w:t>
      </w:r>
      <w:r>
        <w:rPr>
          <w:sz w:val="24"/>
        </w:rPr>
        <w:t>central</w:t>
      </w:r>
      <w:r>
        <w:rPr>
          <w:spacing w:val="-15"/>
          <w:sz w:val="24"/>
        </w:rPr>
        <w:t> </w:t>
      </w:r>
      <w:r>
        <w:rPr>
          <w:sz w:val="24"/>
        </w:rPr>
        <w:t>account</w:t>
      </w:r>
      <w:r>
        <w:rPr>
          <w:spacing w:val="-14"/>
          <w:sz w:val="24"/>
        </w:rPr>
        <w:t> </w:t>
      </w:r>
      <w:r>
        <w:rPr>
          <w:sz w:val="24"/>
        </w:rPr>
        <w:t>to</w:t>
      </w:r>
      <w:r>
        <w:rPr>
          <w:spacing w:val="-17"/>
          <w:sz w:val="24"/>
        </w:rPr>
        <w:t> </w:t>
      </w:r>
      <w:r>
        <w:rPr>
          <w:sz w:val="24"/>
        </w:rPr>
        <w:t>fund</w:t>
      </w:r>
      <w:r>
        <w:rPr>
          <w:spacing w:val="-14"/>
          <w:sz w:val="24"/>
        </w:rPr>
        <w:t> </w:t>
      </w:r>
      <w:r>
        <w:rPr>
          <w:sz w:val="24"/>
        </w:rPr>
        <w:t>projects</w:t>
      </w:r>
      <w:r>
        <w:rPr>
          <w:spacing w:val="-14"/>
          <w:sz w:val="24"/>
        </w:rPr>
        <w:t> </w:t>
      </w:r>
      <w:r>
        <w:rPr>
          <w:sz w:val="24"/>
        </w:rPr>
        <w:t>directly</w:t>
      </w:r>
      <w:r>
        <w:rPr>
          <w:spacing w:val="-17"/>
          <w:sz w:val="24"/>
        </w:rPr>
        <w:t> </w:t>
      </w:r>
      <w:r>
        <w:rPr>
          <w:sz w:val="24"/>
        </w:rPr>
        <w:t>without</w:t>
      </w:r>
      <w:r>
        <w:rPr>
          <w:spacing w:val="-14"/>
          <w:sz w:val="24"/>
        </w:rPr>
        <w:t> </w:t>
      </w:r>
      <w:r>
        <w:rPr>
          <w:sz w:val="24"/>
        </w:rPr>
        <w:t>making</w:t>
      </w:r>
      <w:r>
        <w:rPr>
          <w:spacing w:val="-16"/>
          <w:sz w:val="24"/>
        </w:rPr>
        <w:t> </w:t>
      </w:r>
      <w:r>
        <w:rPr>
          <w:sz w:val="24"/>
        </w:rPr>
        <w:t>use</w:t>
      </w:r>
      <w:r>
        <w:rPr>
          <w:spacing w:val="-14"/>
          <w:sz w:val="24"/>
        </w:rPr>
        <w:t> </w:t>
      </w:r>
      <w:r>
        <w:rPr>
          <w:sz w:val="24"/>
        </w:rPr>
        <w:t>of</w:t>
      </w:r>
      <w:r>
        <w:rPr>
          <w:spacing w:val="-12"/>
          <w:sz w:val="24"/>
        </w:rPr>
        <w:t> </w:t>
      </w:r>
      <w:r>
        <w:rPr>
          <w:sz w:val="24"/>
        </w:rPr>
        <w:t>the services</w:t>
      </w:r>
      <w:r>
        <w:rPr>
          <w:spacing w:val="-4"/>
          <w:sz w:val="24"/>
        </w:rPr>
        <w:t> </w:t>
      </w:r>
      <w:r>
        <w:rPr>
          <w:sz w:val="24"/>
        </w:rPr>
        <w:t>of</w:t>
      </w:r>
      <w:r>
        <w:rPr>
          <w:spacing w:val="-2"/>
          <w:sz w:val="24"/>
        </w:rPr>
        <w:t> </w:t>
      </w:r>
      <w:r>
        <w:rPr>
          <w:sz w:val="24"/>
        </w:rPr>
        <w:t>Non-Profit</w:t>
      </w:r>
      <w:r>
        <w:rPr>
          <w:spacing w:val="-6"/>
          <w:sz w:val="24"/>
        </w:rPr>
        <w:t> </w:t>
      </w:r>
      <w:r>
        <w:rPr>
          <w:sz w:val="24"/>
        </w:rPr>
        <w:t>Organisations.</w:t>
      </w:r>
      <w:r>
        <w:rPr>
          <w:spacing w:val="-4"/>
          <w:sz w:val="24"/>
        </w:rPr>
        <w:t> </w:t>
      </w:r>
      <w:r>
        <w:rPr>
          <w:sz w:val="24"/>
        </w:rPr>
        <w:t>Specific</w:t>
      </w:r>
      <w:r>
        <w:rPr>
          <w:spacing w:val="-5"/>
          <w:sz w:val="24"/>
        </w:rPr>
        <w:t> </w:t>
      </w:r>
      <w:r>
        <w:rPr>
          <w:sz w:val="24"/>
        </w:rPr>
        <w:t>to</w:t>
      </w:r>
      <w:r>
        <w:rPr>
          <w:spacing w:val="-5"/>
          <w:sz w:val="24"/>
        </w:rPr>
        <w:t> </w:t>
      </w:r>
      <w:r>
        <w:rPr>
          <w:sz w:val="24"/>
        </w:rPr>
        <w:t>the</w:t>
      </w:r>
      <w:r>
        <w:rPr>
          <w:spacing w:val="-6"/>
          <w:sz w:val="24"/>
        </w:rPr>
        <w:t> </w:t>
      </w:r>
      <w:r>
        <w:rPr>
          <w:sz w:val="24"/>
        </w:rPr>
        <w:t>Gauteng</w:t>
      </w:r>
      <w:r>
        <w:rPr>
          <w:spacing w:val="-6"/>
          <w:sz w:val="24"/>
        </w:rPr>
        <w:t> </w:t>
      </w:r>
      <w:r>
        <w:rPr>
          <w:sz w:val="24"/>
        </w:rPr>
        <w:t>Province and in line with the Institutional Re-alignment</w:t>
      </w:r>
      <w:r>
        <w:rPr>
          <w:sz w:val="24"/>
        </w:rPr>
        <w:t> Project</w:t>
      </w:r>
      <w:r>
        <w:rPr>
          <w:sz w:val="24"/>
        </w:rPr>
        <w:t> (IRP),</w:t>
      </w:r>
      <w:r>
        <w:rPr>
          <w:spacing w:val="40"/>
          <w:sz w:val="24"/>
        </w:rPr>
        <w:t> </w:t>
      </w:r>
      <w:r>
        <w:rPr>
          <w:sz w:val="24"/>
        </w:rPr>
        <w:t>the Department will identify and retrieve services from the following </w:t>
      </w:r>
      <w:r>
        <w:rPr>
          <w:spacing w:val="-2"/>
          <w:sz w:val="24"/>
        </w:rPr>
        <w:t>organizations:</w:t>
      </w:r>
    </w:p>
    <w:p>
      <w:pPr>
        <w:pStyle w:val="ListParagraph"/>
        <w:numPr>
          <w:ilvl w:val="2"/>
          <w:numId w:val="1"/>
        </w:numPr>
        <w:tabs>
          <w:tab w:pos="2421" w:val="left" w:leader="none"/>
        </w:tabs>
        <w:spacing w:line="273" w:lineRule="auto" w:before="0" w:after="0"/>
        <w:ind w:left="2420" w:right="135" w:hanging="360"/>
        <w:jc w:val="both"/>
        <w:rPr>
          <w:sz w:val="24"/>
        </w:rPr>
      </w:pPr>
      <w:r>
        <w:rPr>
          <w:sz w:val="24"/>
        </w:rPr>
        <w:t>Non-performing/dysfunctional NPOs (non-centre-based services, non-compliant NPOs or NPOs suspended from </w:t>
      </w:r>
      <w:r>
        <w:rPr>
          <w:spacing w:val="-2"/>
          <w:sz w:val="24"/>
        </w:rPr>
        <w:t>service)</w:t>
      </w:r>
    </w:p>
    <w:p>
      <w:pPr>
        <w:spacing w:after="0" w:line="273" w:lineRule="auto"/>
        <w:jc w:val="both"/>
        <w:rPr>
          <w:sz w:val="24"/>
        </w:rPr>
        <w:sectPr>
          <w:pgSz w:w="11910" w:h="16840"/>
          <w:pgMar w:header="865" w:footer="0" w:top="3260" w:bottom="280" w:left="1300" w:right="1300"/>
        </w:sectPr>
      </w:pPr>
    </w:p>
    <w:p>
      <w:pPr>
        <w:pStyle w:val="ListParagraph"/>
        <w:numPr>
          <w:ilvl w:val="2"/>
          <w:numId w:val="1"/>
        </w:numPr>
        <w:tabs>
          <w:tab w:pos="2420" w:val="left" w:leader="none"/>
          <w:tab w:pos="2421" w:val="left" w:leader="none"/>
        </w:tabs>
        <w:spacing w:line="271" w:lineRule="auto" w:before="136" w:after="0"/>
        <w:ind w:left="2420" w:right="140" w:hanging="360"/>
        <w:jc w:val="left"/>
        <w:rPr>
          <w:sz w:val="24"/>
        </w:rPr>
      </w:pPr>
      <w:r>
        <w:rPr>
          <w:sz w:val="24"/>
        </w:rPr>
        <w:t>Certain</w:t>
      </w:r>
      <w:r>
        <w:rPr>
          <w:spacing w:val="-8"/>
          <w:sz w:val="24"/>
        </w:rPr>
        <w:t> </w:t>
      </w:r>
      <w:r>
        <w:rPr>
          <w:sz w:val="24"/>
        </w:rPr>
        <w:t>statutory</w:t>
      </w:r>
      <w:r>
        <w:rPr>
          <w:spacing w:val="-11"/>
          <w:sz w:val="24"/>
        </w:rPr>
        <w:t> </w:t>
      </w:r>
      <w:r>
        <w:rPr>
          <w:sz w:val="24"/>
        </w:rPr>
        <w:t>services</w:t>
      </w:r>
      <w:r>
        <w:rPr>
          <w:spacing w:val="-8"/>
          <w:sz w:val="24"/>
        </w:rPr>
        <w:t> </w:t>
      </w:r>
      <w:r>
        <w:rPr>
          <w:sz w:val="24"/>
        </w:rPr>
        <w:t>(e.g.,</w:t>
      </w:r>
      <w:r>
        <w:rPr>
          <w:spacing w:val="-8"/>
          <w:sz w:val="24"/>
        </w:rPr>
        <w:t> </w:t>
      </w:r>
      <w:r>
        <w:rPr>
          <w:sz w:val="24"/>
        </w:rPr>
        <w:t>new</w:t>
      </w:r>
      <w:r>
        <w:rPr>
          <w:spacing w:val="-11"/>
          <w:sz w:val="24"/>
        </w:rPr>
        <w:t> </w:t>
      </w:r>
      <w:r>
        <w:rPr>
          <w:sz w:val="24"/>
        </w:rPr>
        <w:t>foster</w:t>
      </w:r>
      <w:r>
        <w:rPr>
          <w:spacing w:val="-8"/>
          <w:sz w:val="24"/>
        </w:rPr>
        <w:t> </w:t>
      </w:r>
      <w:r>
        <w:rPr>
          <w:sz w:val="24"/>
        </w:rPr>
        <w:t>care</w:t>
      </w:r>
      <w:r>
        <w:rPr>
          <w:spacing w:val="-8"/>
          <w:sz w:val="24"/>
        </w:rPr>
        <w:t> </w:t>
      </w:r>
      <w:r>
        <w:rPr>
          <w:sz w:val="24"/>
        </w:rPr>
        <w:t>cases,</w:t>
      </w:r>
      <w:r>
        <w:rPr>
          <w:spacing w:val="-8"/>
          <w:sz w:val="24"/>
        </w:rPr>
        <w:t> </w:t>
      </w:r>
      <w:r>
        <w:rPr>
          <w:sz w:val="24"/>
        </w:rPr>
        <w:t>adoption services, etc.)</w:t>
      </w:r>
    </w:p>
    <w:p>
      <w:pPr>
        <w:pStyle w:val="BodyText"/>
        <w:rPr>
          <w:sz w:val="28"/>
        </w:rPr>
      </w:pPr>
    </w:p>
    <w:p>
      <w:pPr>
        <w:pStyle w:val="BodyText"/>
        <w:spacing w:line="276" w:lineRule="auto" w:before="1"/>
        <w:ind w:left="1580" w:right="136"/>
        <w:jc w:val="both"/>
      </w:pPr>
      <w:r>
        <w:rPr/>
        <w:t>The aim of this IRP is to ensure that funding is directed toward priority areas and programmes. This Project is a Gauteng provincial initiative and does not imply to other provinces.</w:t>
      </w:r>
    </w:p>
    <w:sectPr>
      <w:pgSz w:w="11910" w:h="16840"/>
      <w:pgMar w:header="865" w:footer="0" w:top="32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52000">
          <wp:simplePos x="0" y="0"/>
          <wp:positionH relativeFrom="page">
            <wp:posOffset>2535708</wp:posOffset>
          </wp:positionH>
          <wp:positionV relativeFrom="page">
            <wp:posOffset>549211</wp:posOffset>
          </wp:positionV>
          <wp:extent cx="2429448" cy="152769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429448" cy="15276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80" w:hanging="720"/>
        <w:jc w:val="left"/>
      </w:pPr>
      <w:rPr>
        <w:rFonts w:hint="default" w:ascii="Arial" w:hAnsi="Arial" w:eastAsia="Arial" w:cs="Arial"/>
        <w:b w:val="0"/>
        <w:bCs w:val="0"/>
        <w:i w:val="0"/>
        <w:iCs w:val="0"/>
        <w:w w:val="99"/>
        <w:sz w:val="24"/>
        <w:szCs w:val="24"/>
        <w:lang w:val="en-US" w:eastAsia="en-US" w:bidi="ar-SA"/>
      </w:rPr>
    </w:lvl>
    <w:lvl w:ilvl="1">
      <w:start w:val="1"/>
      <w:numFmt w:val="decimal"/>
      <w:lvlText w:val="(%2)"/>
      <w:lvlJc w:val="left"/>
      <w:pPr>
        <w:ind w:left="1700" w:hanging="720"/>
        <w:jc w:val="left"/>
      </w:pPr>
      <w:rPr>
        <w:rFonts w:hint="default" w:ascii="Arial" w:hAnsi="Arial" w:eastAsia="Arial" w:cs="Arial"/>
        <w:b w:val="0"/>
        <w:bCs w:val="0"/>
        <w:i w:val="0"/>
        <w:iCs w:val="0"/>
        <w:w w:val="99"/>
        <w:sz w:val="24"/>
        <w:szCs w:val="24"/>
        <w:lang w:val="en-US" w:eastAsia="en-US" w:bidi="ar-SA"/>
      </w:rPr>
    </w:lvl>
    <w:lvl w:ilvl="2">
      <w:start w:val="0"/>
      <w:numFmt w:val="bullet"/>
      <w:lvlText w:val=""/>
      <w:lvlJc w:val="left"/>
      <w:pPr>
        <w:ind w:left="2420" w:hanging="360"/>
      </w:pPr>
      <w:rPr>
        <w:rFonts w:hint="default" w:ascii="Symbol" w:hAnsi="Symbol" w:eastAsia="Symbol" w:cs="Symbol"/>
        <w:b w:val="0"/>
        <w:bCs w:val="0"/>
        <w:i w:val="0"/>
        <w:iCs w:val="0"/>
        <w:w w:val="100"/>
        <w:sz w:val="24"/>
        <w:szCs w:val="24"/>
        <w:lang w:val="en-US" w:eastAsia="en-US" w:bidi="ar-SA"/>
      </w:rPr>
    </w:lvl>
    <w:lvl w:ilvl="3">
      <w:start w:val="0"/>
      <w:numFmt w:val="bullet"/>
      <w:lvlText w:val="•"/>
      <w:lvlJc w:val="left"/>
      <w:pPr>
        <w:ind w:left="3280" w:hanging="360"/>
      </w:pPr>
      <w:rPr>
        <w:rFonts w:hint="default"/>
        <w:lang w:val="en-US" w:eastAsia="en-US" w:bidi="ar-SA"/>
      </w:rPr>
    </w:lvl>
    <w:lvl w:ilvl="4">
      <w:start w:val="0"/>
      <w:numFmt w:val="bullet"/>
      <w:lvlText w:val="•"/>
      <w:lvlJc w:val="left"/>
      <w:pPr>
        <w:ind w:left="4141" w:hanging="360"/>
      </w:pPr>
      <w:rPr>
        <w:rFonts w:hint="default"/>
        <w:lang w:val="en-US" w:eastAsia="en-US" w:bidi="ar-SA"/>
      </w:rPr>
    </w:lvl>
    <w:lvl w:ilvl="5">
      <w:start w:val="0"/>
      <w:numFmt w:val="bullet"/>
      <w:lvlText w:val="•"/>
      <w:lvlJc w:val="left"/>
      <w:pPr>
        <w:ind w:left="5002" w:hanging="360"/>
      </w:pPr>
      <w:rPr>
        <w:rFonts w:hint="default"/>
        <w:lang w:val="en-US" w:eastAsia="en-US" w:bidi="ar-SA"/>
      </w:rPr>
    </w:lvl>
    <w:lvl w:ilvl="6">
      <w:start w:val="0"/>
      <w:numFmt w:val="bullet"/>
      <w:lvlText w:val="•"/>
      <w:lvlJc w:val="left"/>
      <w:pPr>
        <w:ind w:left="5863" w:hanging="360"/>
      </w:pPr>
      <w:rPr>
        <w:rFonts w:hint="default"/>
        <w:lang w:val="en-US" w:eastAsia="en-US" w:bidi="ar-SA"/>
      </w:rPr>
    </w:lvl>
    <w:lvl w:ilvl="7">
      <w:start w:val="0"/>
      <w:numFmt w:val="bullet"/>
      <w:lvlText w:val="•"/>
      <w:lvlJc w:val="left"/>
      <w:pPr>
        <w:ind w:left="6724" w:hanging="360"/>
      </w:pPr>
      <w:rPr>
        <w:rFonts w:hint="default"/>
        <w:lang w:val="en-US" w:eastAsia="en-US" w:bidi="ar-SA"/>
      </w:rPr>
    </w:lvl>
    <w:lvl w:ilvl="8">
      <w:start w:val="0"/>
      <w:numFmt w:val="bullet"/>
      <w:lvlText w:val="•"/>
      <w:lvlJc w:val="left"/>
      <w:pPr>
        <w:ind w:left="758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ListParagraph" w:type="paragraph">
    <w:name w:val="List Paragraph"/>
    <w:basedOn w:val="Normal"/>
    <w:uiPriority w:val="1"/>
    <w:qFormat/>
    <w:pPr>
      <w:ind w:left="1580" w:right="136" w:hanging="720"/>
      <w:jc w:val="both"/>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dcterms:created xsi:type="dcterms:W3CDTF">2023-05-30T10:31:49Z</dcterms:created>
  <dcterms:modified xsi:type="dcterms:W3CDTF">2023-05-30T10:31:49Z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2022-12-26T00:00:00Z</vt:filetime>
  </property>
  <property fmtid="{D5CDD505-2E9C-101B-9397-08002B2CF9AE}" pid="3" name="Creator">
    <vt:lpwstr>Microsoft® Word 2016</vt:lpwstr>
  </property>
  <property fmtid="{D5CDD505-2E9C-101B-9397-08002B2CF9AE}" pid="4" name="LastSaved">
    <vt:filetime>2023-05-30T00:00:00Z</vt:filetime>
  </property>
</Properties>
</file>