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DC312F">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84BC9">
        <w:rPr>
          <w:rFonts w:ascii="Arial" w:hAnsi="Arial" w:cs="Arial"/>
          <w:b/>
          <w:bCs/>
        </w:rPr>
        <w:t>386</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AF776A">
        <w:rPr>
          <w:rFonts w:ascii="Arial" w:hAnsi="Arial" w:cs="Arial"/>
          <w:b/>
          <w:bCs/>
          <w:u w:val="single"/>
        </w:rPr>
        <w:t>03/03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AF776A">
        <w:rPr>
          <w:rFonts w:ascii="Arial" w:hAnsi="Arial" w:cs="Arial"/>
          <w:b/>
          <w:bCs/>
          <w:u w:val="single"/>
        </w:rPr>
        <w:t>07</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284BC9" w:rsidRPr="00284BC9" w:rsidRDefault="00284BC9" w:rsidP="00BA3FC5">
      <w:pPr>
        <w:spacing w:before="100" w:beforeAutospacing="1" w:line="360" w:lineRule="auto"/>
        <w:ind w:left="720" w:hanging="720"/>
        <w:jc w:val="both"/>
        <w:outlineLvl w:val="0"/>
        <w:rPr>
          <w:rFonts w:ascii="Arial" w:hAnsi="Arial" w:cs="Arial"/>
          <w:b/>
          <w:lang w:val="en-ZA"/>
        </w:rPr>
      </w:pPr>
      <w:r w:rsidRPr="00284BC9">
        <w:rPr>
          <w:rFonts w:ascii="Arial" w:hAnsi="Arial" w:cs="Arial"/>
          <w:b/>
          <w:lang w:val="en-ZA"/>
        </w:rPr>
        <w:t>Mr A P van der Westhuizen (DA) to ask the Minister of Higher Education and Training:</w:t>
      </w:r>
    </w:p>
    <w:p w:rsidR="00284BC9" w:rsidRPr="00284BC9" w:rsidRDefault="00284BC9" w:rsidP="00BA3FC5">
      <w:pPr>
        <w:spacing w:before="100" w:beforeAutospacing="1" w:line="360" w:lineRule="auto"/>
        <w:ind w:left="567" w:hanging="567"/>
        <w:jc w:val="both"/>
        <w:rPr>
          <w:rFonts w:ascii="Arial" w:hAnsi="Arial" w:cs="Arial"/>
          <w:lang w:val="en-ZA"/>
        </w:rPr>
      </w:pPr>
      <w:r w:rsidRPr="00284BC9">
        <w:rPr>
          <w:rFonts w:ascii="Arial" w:hAnsi="Arial" w:cs="Arial"/>
          <w:lang w:val="en-ZA"/>
        </w:rPr>
        <w:t>(1)</w:t>
      </w:r>
      <w:r w:rsidRPr="00284BC9">
        <w:rPr>
          <w:rFonts w:ascii="Arial" w:hAnsi="Arial" w:cs="Arial"/>
          <w:lang w:val="en-ZA"/>
        </w:rPr>
        <w:tab/>
        <w:t>What is the total amount of full-time equivalents students</w:t>
      </w:r>
      <w:r w:rsidR="00A4340E">
        <w:rPr>
          <w:rFonts w:ascii="Arial" w:hAnsi="Arial" w:cs="Arial"/>
          <w:lang w:val="en-ZA"/>
        </w:rPr>
        <w:t xml:space="preserve"> (FTE’s)</w:t>
      </w:r>
      <w:r w:rsidRPr="00284BC9">
        <w:rPr>
          <w:rFonts w:ascii="Arial" w:hAnsi="Arial" w:cs="Arial"/>
          <w:lang w:val="en-ZA"/>
        </w:rPr>
        <w:t xml:space="preserve"> who studied through the public technical and vocational education and training (TVET) Colleges during the (a) 2014, (b) 2015 and (c) 2016 academic years;</w:t>
      </w:r>
    </w:p>
    <w:p w:rsidR="006866C6" w:rsidRPr="006866C6" w:rsidRDefault="00284BC9" w:rsidP="00BA3FC5">
      <w:pPr>
        <w:spacing w:before="100" w:beforeAutospacing="1" w:line="360" w:lineRule="auto"/>
        <w:ind w:left="567" w:hanging="567"/>
        <w:jc w:val="both"/>
        <w:rPr>
          <w:rFonts w:ascii="Arial" w:hAnsi="Arial" w:cs="Arial"/>
          <w:lang w:val="en-ZA"/>
        </w:rPr>
      </w:pPr>
      <w:r w:rsidRPr="00284BC9">
        <w:rPr>
          <w:rFonts w:ascii="Arial" w:hAnsi="Arial" w:cs="Arial"/>
          <w:lang w:val="en-ZA"/>
        </w:rPr>
        <w:t xml:space="preserve"> (2)</w:t>
      </w:r>
      <w:r w:rsidRPr="00284BC9">
        <w:rPr>
          <w:rFonts w:ascii="Arial" w:hAnsi="Arial" w:cs="Arial"/>
          <w:lang w:val="en-ZA"/>
        </w:rPr>
        <w:tab/>
        <w:t>what was the total amount paid out to all TVET colleges by his department in each of the specified academic years as (a) contributions via the Personnel Salary System, (b) other subsidies toward staff costs, (c) contributions towards capital expenditure and (d) any other transfers in support of the operating costs of each TVET college?</w:t>
      </w:r>
      <w:r w:rsidRPr="00284BC9">
        <w:rPr>
          <w:rFonts w:ascii="Arial" w:hAnsi="Arial" w:cs="Arial"/>
          <w:lang w:val="en-ZA"/>
        </w:rPr>
        <w:tab/>
      </w:r>
      <w:r w:rsidRPr="00284BC9">
        <w:rPr>
          <w:rFonts w:ascii="Arial" w:hAnsi="Arial" w:cs="Arial"/>
          <w:lang w:val="en-ZA"/>
        </w:rPr>
        <w:tab/>
      </w:r>
      <w:r w:rsidRPr="00284BC9">
        <w:rPr>
          <w:rFonts w:ascii="Arial" w:hAnsi="Arial" w:cs="Arial"/>
          <w:lang w:val="en-ZA"/>
        </w:rPr>
        <w:tab/>
      </w:r>
      <w:r w:rsidRPr="00284BC9">
        <w:rPr>
          <w:rFonts w:ascii="Arial" w:hAnsi="Arial" w:cs="Arial"/>
          <w:lang w:val="en-ZA"/>
        </w:rPr>
        <w:tab/>
      </w:r>
      <w:r w:rsidRPr="00284BC9">
        <w:rPr>
          <w:rFonts w:ascii="Arial" w:hAnsi="Arial" w:cs="Arial"/>
          <w:lang w:val="en-ZA"/>
        </w:rPr>
        <w:tab/>
      </w:r>
      <w:r w:rsidRPr="00284BC9">
        <w:rPr>
          <w:rFonts w:ascii="Arial" w:hAnsi="Arial" w:cs="Arial"/>
          <w:lang w:val="en-ZA"/>
        </w:rPr>
        <w:tab/>
      </w:r>
    </w:p>
    <w:p w:rsidR="00284BC9" w:rsidRPr="00BA3FC5" w:rsidRDefault="00284BC9" w:rsidP="00C34C19">
      <w:pPr>
        <w:spacing w:before="100" w:beforeAutospacing="1" w:after="100" w:afterAutospacing="1" w:line="259" w:lineRule="auto"/>
        <w:ind w:left="7200" w:firstLine="720"/>
        <w:jc w:val="right"/>
        <w:rPr>
          <w:rFonts w:ascii="Arial" w:hAnsi="Arial" w:cs="Arial"/>
          <w:b/>
          <w:sz w:val="20"/>
          <w:lang w:val="en-ZA"/>
        </w:rPr>
      </w:pPr>
      <w:r w:rsidRPr="00BA3FC5">
        <w:rPr>
          <w:rFonts w:ascii="Arial" w:hAnsi="Arial" w:cs="Arial"/>
          <w:b/>
          <w:sz w:val="20"/>
          <w:lang w:val="en-ZA"/>
        </w:rPr>
        <w:t>NW439E</w:t>
      </w:r>
    </w:p>
    <w:p w:rsidR="008458E4" w:rsidRPr="008458E4" w:rsidRDefault="008458E4" w:rsidP="008458E4">
      <w:pPr>
        <w:spacing w:before="100" w:beforeAutospacing="1" w:after="100" w:afterAutospacing="1" w:line="259" w:lineRule="auto"/>
        <w:ind w:left="7200" w:firstLine="720"/>
        <w:jc w:val="both"/>
        <w:rPr>
          <w:rFonts w:ascii="Arial" w:hAnsi="Arial" w:cs="Arial"/>
          <w:b/>
          <w:lang w:val="en-ZA"/>
        </w:rPr>
      </w:pPr>
    </w:p>
    <w:p w:rsidR="008458E4" w:rsidRDefault="008458E4" w:rsidP="001F7966">
      <w:pPr>
        <w:spacing w:before="100" w:beforeAutospacing="1" w:after="100" w:afterAutospacing="1" w:line="259" w:lineRule="auto"/>
        <w:jc w:val="both"/>
        <w:outlineLvl w:val="0"/>
        <w:rPr>
          <w:rFonts w:eastAsia="Times New Roman"/>
          <w:b/>
        </w:rPr>
      </w:pPr>
    </w:p>
    <w:p w:rsidR="00284BC9" w:rsidRDefault="00284BC9" w:rsidP="001F7966">
      <w:pPr>
        <w:spacing w:before="100" w:beforeAutospacing="1" w:after="100" w:afterAutospacing="1" w:line="259" w:lineRule="auto"/>
        <w:jc w:val="both"/>
        <w:outlineLvl w:val="0"/>
        <w:rPr>
          <w:rFonts w:ascii="Arial" w:hAnsi="Arial" w:cs="Arial"/>
          <w:b/>
        </w:rPr>
      </w:pPr>
    </w:p>
    <w:p w:rsidR="00DC312F" w:rsidRDefault="00DC312F" w:rsidP="00F028EF">
      <w:pPr>
        <w:spacing w:before="100" w:beforeAutospacing="1" w:after="100" w:afterAutospacing="1" w:line="259" w:lineRule="auto"/>
        <w:jc w:val="both"/>
        <w:outlineLvl w:val="0"/>
        <w:rPr>
          <w:rFonts w:ascii="Arial" w:hAnsi="Arial" w:cs="Arial"/>
          <w:b/>
        </w:rPr>
      </w:pPr>
    </w:p>
    <w:p w:rsidR="00DC312F" w:rsidRDefault="00DC312F" w:rsidP="00F028EF">
      <w:pPr>
        <w:spacing w:before="100" w:beforeAutospacing="1" w:after="100" w:afterAutospacing="1" w:line="259" w:lineRule="auto"/>
        <w:jc w:val="both"/>
        <w:outlineLvl w:val="0"/>
        <w:rPr>
          <w:rFonts w:ascii="Arial" w:hAnsi="Arial" w:cs="Arial"/>
          <w:b/>
        </w:rPr>
      </w:pPr>
    </w:p>
    <w:p w:rsidR="00DC312F" w:rsidRDefault="00DC312F" w:rsidP="00F028EF">
      <w:pPr>
        <w:spacing w:before="100" w:beforeAutospacing="1" w:after="100" w:afterAutospacing="1" w:line="259" w:lineRule="auto"/>
        <w:jc w:val="both"/>
        <w:outlineLvl w:val="0"/>
        <w:rPr>
          <w:rFonts w:ascii="Arial" w:hAnsi="Arial" w:cs="Arial"/>
          <w:b/>
        </w:rPr>
      </w:pPr>
    </w:p>
    <w:p w:rsidR="00DC312F" w:rsidRDefault="00DC312F" w:rsidP="00F028EF">
      <w:pPr>
        <w:spacing w:before="100" w:beforeAutospacing="1" w:after="100" w:afterAutospacing="1" w:line="259" w:lineRule="auto"/>
        <w:jc w:val="both"/>
        <w:outlineLvl w:val="0"/>
        <w:rPr>
          <w:rFonts w:ascii="Arial" w:hAnsi="Arial" w:cs="Arial"/>
          <w:b/>
        </w:rPr>
      </w:pPr>
    </w:p>
    <w:p w:rsidR="00DC312F" w:rsidRDefault="00DC312F" w:rsidP="00F028EF">
      <w:pPr>
        <w:spacing w:before="100" w:beforeAutospacing="1" w:after="100" w:afterAutospacing="1" w:line="259" w:lineRule="auto"/>
        <w:jc w:val="both"/>
        <w:outlineLvl w:val="0"/>
        <w:rPr>
          <w:rFonts w:ascii="Arial" w:hAnsi="Arial" w:cs="Arial"/>
          <w:b/>
        </w:rPr>
      </w:pPr>
    </w:p>
    <w:p w:rsidR="00E103E5" w:rsidRPr="00C34C19" w:rsidRDefault="00B12389" w:rsidP="00F028EF">
      <w:pPr>
        <w:spacing w:before="100" w:beforeAutospacing="1" w:after="100" w:afterAutospacing="1" w:line="259" w:lineRule="auto"/>
        <w:jc w:val="both"/>
        <w:outlineLvl w:val="0"/>
        <w:rPr>
          <w:rFonts w:ascii="Arial" w:hAnsi="Arial" w:cs="Arial"/>
          <w:b/>
        </w:rPr>
      </w:pPr>
      <w:r w:rsidRPr="00C34C19">
        <w:rPr>
          <w:rFonts w:ascii="Arial" w:hAnsi="Arial" w:cs="Arial"/>
          <w:b/>
        </w:rPr>
        <w:lastRenderedPageBreak/>
        <w:t>R</w:t>
      </w:r>
      <w:r w:rsidR="00FC1A3C" w:rsidRPr="00C34C19">
        <w:rPr>
          <w:rFonts w:ascii="Arial" w:hAnsi="Arial" w:cs="Arial"/>
          <w:b/>
        </w:rPr>
        <w:t>EPLY:</w:t>
      </w:r>
    </w:p>
    <w:p w:rsidR="00F028EF" w:rsidRPr="00C34C19" w:rsidRDefault="008F0123" w:rsidP="00C34C19">
      <w:pPr>
        <w:numPr>
          <w:ilvl w:val="0"/>
          <w:numId w:val="44"/>
        </w:numPr>
        <w:spacing w:before="100" w:beforeAutospacing="1" w:after="100" w:afterAutospacing="1" w:line="360" w:lineRule="auto"/>
        <w:ind w:left="426" w:hanging="426"/>
        <w:jc w:val="both"/>
        <w:outlineLvl w:val="0"/>
        <w:rPr>
          <w:rFonts w:ascii="Arial" w:hAnsi="Arial" w:cs="Arial"/>
        </w:rPr>
      </w:pPr>
      <w:r w:rsidRPr="00C34C19">
        <w:rPr>
          <w:rFonts w:ascii="Arial" w:hAnsi="Arial" w:cs="Arial"/>
        </w:rPr>
        <w:t>R</w:t>
      </w:r>
      <w:r w:rsidR="00172351" w:rsidRPr="00C34C19">
        <w:rPr>
          <w:rFonts w:ascii="Arial" w:hAnsi="Arial" w:cs="Arial"/>
        </w:rPr>
        <w:t>elating to Ministerial approved programmes</w:t>
      </w:r>
      <w:r w:rsidR="000808AE">
        <w:rPr>
          <w:rFonts w:ascii="Arial" w:hAnsi="Arial" w:cs="Arial"/>
        </w:rPr>
        <w:t xml:space="preserve">, i.e. </w:t>
      </w:r>
      <w:r w:rsidR="00BA3FC5">
        <w:rPr>
          <w:rFonts w:ascii="Arial" w:hAnsi="Arial" w:cs="Arial"/>
        </w:rPr>
        <w:t>Nat</w:t>
      </w:r>
      <w:r w:rsidR="000808AE">
        <w:rPr>
          <w:rFonts w:ascii="Arial" w:hAnsi="Arial" w:cs="Arial"/>
        </w:rPr>
        <w:t>ional Certificate (Vocational)</w:t>
      </w:r>
      <w:r w:rsidR="00172351" w:rsidRPr="00C34C19">
        <w:rPr>
          <w:rFonts w:ascii="Arial" w:hAnsi="Arial" w:cs="Arial"/>
        </w:rPr>
        <w:t xml:space="preserve"> and Report 191 ex</w:t>
      </w:r>
      <w:r w:rsidR="000808AE">
        <w:rPr>
          <w:rFonts w:ascii="Arial" w:hAnsi="Arial" w:cs="Arial"/>
        </w:rPr>
        <w:t>cluding occupational programmes</w:t>
      </w:r>
      <w:r w:rsidRPr="00C34C19">
        <w:rPr>
          <w:rFonts w:ascii="Arial" w:hAnsi="Arial" w:cs="Arial"/>
        </w:rPr>
        <w:t xml:space="preserve">, the number of students </w:t>
      </w:r>
      <w:r w:rsidR="00D151E0">
        <w:rPr>
          <w:rFonts w:ascii="Arial" w:hAnsi="Arial" w:cs="Arial"/>
        </w:rPr>
        <w:t>are</w:t>
      </w:r>
      <w:r w:rsidRPr="00C34C19">
        <w:rPr>
          <w:rFonts w:ascii="Arial" w:hAnsi="Arial" w:cs="Arial"/>
        </w:rPr>
        <w:t xml:space="preserve"> as follows: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1770"/>
        <w:gridCol w:w="1559"/>
        <w:gridCol w:w="1843"/>
        <w:gridCol w:w="2126"/>
      </w:tblGrid>
      <w:tr w:rsidR="00BA3FC5" w:rsidRPr="004C703B" w:rsidTr="004C703B">
        <w:tc>
          <w:tcPr>
            <w:tcW w:w="2058" w:type="dxa"/>
            <w:shd w:val="clear" w:color="auto" w:fill="auto"/>
            <w:vAlign w:val="center"/>
          </w:tcPr>
          <w:p w:rsidR="00CA05A4" w:rsidRPr="004C703B" w:rsidRDefault="004C703B" w:rsidP="000808AE">
            <w:pPr>
              <w:spacing w:before="60" w:after="60" w:line="240" w:lineRule="auto"/>
              <w:rPr>
                <w:rFonts w:ascii="Arial" w:eastAsia="Times New Roman" w:hAnsi="Arial" w:cs="Arial"/>
                <w:b/>
              </w:rPr>
            </w:pPr>
            <w:r w:rsidRPr="004C703B">
              <w:rPr>
                <w:rFonts w:ascii="Arial" w:eastAsia="Times New Roman" w:hAnsi="Arial" w:cs="Arial"/>
                <w:b/>
              </w:rPr>
              <w:t>Financial Year</w:t>
            </w:r>
          </w:p>
        </w:tc>
        <w:tc>
          <w:tcPr>
            <w:tcW w:w="1770" w:type="dxa"/>
            <w:shd w:val="clear" w:color="auto" w:fill="auto"/>
            <w:vAlign w:val="center"/>
          </w:tcPr>
          <w:p w:rsidR="00CA05A4" w:rsidRPr="004C703B" w:rsidRDefault="000808AE" w:rsidP="000808AE">
            <w:pPr>
              <w:numPr>
                <w:ilvl w:val="0"/>
                <w:numId w:val="46"/>
              </w:numPr>
              <w:spacing w:before="60" w:after="60" w:line="240" w:lineRule="auto"/>
              <w:ind w:left="244" w:hanging="283"/>
              <w:jc w:val="center"/>
              <w:rPr>
                <w:rFonts w:ascii="Arial" w:eastAsia="Times New Roman" w:hAnsi="Arial" w:cs="Arial"/>
                <w:b/>
              </w:rPr>
            </w:pPr>
            <w:r>
              <w:rPr>
                <w:rFonts w:ascii="Arial" w:eastAsia="Times New Roman" w:hAnsi="Arial" w:cs="Arial"/>
                <w:b/>
              </w:rPr>
              <w:t xml:space="preserve">  </w:t>
            </w:r>
            <w:r w:rsidR="00CA05A4" w:rsidRPr="004C703B">
              <w:rPr>
                <w:rFonts w:ascii="Arial" w:eastAsia="Times New Roman" w:hAnsi="Arial" w:cs="Arial"/>
                <w:b/>
              </w:rPr>
              <w:t>2014/15</w:t>
            </w:r>
          </w:p>
        </w:tc>
        <w:tc>
          <w:tcPr>
            <w:tcW w:w="1559" w:type="dxa"/>
            <w:shd w:val="clear" w:color="auto" w:fill="auto"/>
            <w:vAlign w:val="center"/>
          </w:tcPr>
          <w:p w:rsidR="00CA05A4" w:rsidRPr="004C703B" w:rsidRDefault="000808AE" w:rsidP="000808AE">
            <w:pPr>
              <w:numPr>
                <w:ilvl w:val="0"/>
                <w:numId w:val="46"/>
              </w:numPr>
              <w:spacing w:before="60" w:after="60" w:line="240" w:lineRule="auto"/>
              <w:ind w:left="244" w:hanging="283"/>
              <w:jc w:val="center"/>
              <w:rPr>
                <w:rFonts w:ascii="Arial" w:eastAsia="Times New Roman" w:hAnsi="Arial" w:cs="Arial"/>
                <w:b/>
              </w:rPr>
            </w:pPr>
            <w:r>
              <w:rPr>
                <w:rFonts w:ascii="Arial" w:eastAsia="Times New Roman" w:hAnsi="Arial" w:cs="Arial"/>
                <w:b/>
              </w:rPr>
              <w:t xml:space="preserve">  </w:t>
            </w:r>
            <w:r w:rsidR="00CA05A4" w:rsidRPr="004C703B">
              <w:rPr>
                <w:rFonts w:ascii="Arial" w:eastAsia="Times New Roman" w:hAnsi="Arial" w:cs="Arial"/>
                <w:b/>
              </w:rPr>
              <w:t>2015/16</w:t>
            </w:r>
          </w:p>
        </w:tc>
        <w:tc>
          <w:tcPr>
            <w:tcW w:w="1843" w:type="dxa"/>
            <w:shd w:val="clear" w:color="auto" w:fill="auto"/>
            <w:vAlign w:val="center"/>
          </w:tcPr>
          <w:p w:rsidR="00CA05A4" w:rsidRPr="004C703B" w:rsidRDefault="00CA05A4" w:rsidP="000808AE">
            <w:pPr>
              <w:spacing w:before="60" w:after="60" w:line="240" w:lineRule="auto"/>
              <w:ind w:left="-39"/>
              <w:jc w:val="center"/>
              <w:rPr>
                <w:rFonts w:ascii="Arial" w:eastAsia="Times New Roman" w:hAnsi="Arial" w:cs="Arial"/>
                <w:b/>
              </w:rPr>
            </w:pPr>
            <w:r w:rsidRPr="004C703B">
              <w:rPr>
                <w:rFonts w:ascii="Arial" w:eastAsia="Times New Roman" w:hAnsi="Arial" w:cs="Arial"/>
                <w:b/>
              </w:rPr>
              <w:t>2016/17 (Original)</w:t>
            </w:r>
          </w:p>
        </w:tc>
        <w:tc>
          <w:tcPr>
            <w:tcW w:w="2126" w:type="dxa"/>
            <w:vAlign w:val="center"/>
          </w:tcPr>
          <w:p w:rsidR="00CA05A4" w:rsidRPr="004C703B" w:rsidRDefault="00D151E0" w:rsidP="000808AE">
            <w:pPr>
              <w:spacing w:before="60" w:after="60" w:line="240" w:lineRule="auto"/>
              <w:ind w:left="244" w:hanging="283"/>
              <w:jc w:val="center"/>
              <w:rPr>
                <w:rFonts w:ascii="Arial" w:eastAsia="Times New Roman" w:hAnsi="Arial" w:cs="Arial"/>
                <w:b/>
              </w:rPr>
            </w:pPr>
            <w:r>
              <w:rPr>
                <w:rFonts w:ascii="Arial" w:eastAsia="Times New Roman" w:hAnsi="Arial" w:cs="Arial"/>
                <w:b/>
              </w:rPr>
              <w:t xml:space="preserve">(c) </w:t>
            </w:r>
            <w:r w:rsidR="000808AE">
              <w:rPr>
                <w:rFonts w:ascii="Arial" w:eastAsia="Times New Roman" w:hAnsi="Arial" w:cs="Arial"/>
                <w:b/>
              </w:rPr>
              <w:t xml:space="preserve"> </w:t>
            </w:r>
            <w:r w:rsidR="00CA05A4" w:rsidRPr="004C703B">
              <w:rPr>
                <w:rFonts w:ascii="Arial" w:eastAsia="Times New Roman" w:hAnsi="Arial" w:cs="Arial"/>
                <w:b/>
              </w:rPr>
              <w:t>2016/17 (Revised)</w:t>
            </w:r>
          </w:p>
        </w:tc>
      </w:tr>
      <w:tr w:rsidR="00BA3FC5" w:rsidRPr="004C703B" w:rsidTr="004C703B">
        <w:tc>
          <w:tcPr>
            <w:tcW w:w="2058" w:type="dxa"/>
            <w:shd w:val="clear" w:color="auto" w:fill="auto"/>
            <w:vAlign w:val="center"/>
          </w:tcPr>
          <w:p w:rsidR="00CA05A4" w:rsidRPr="004C703B" w:rsidRDefault="000808AE" w:rsidP="000808AE">
            <w:pPr>
              <w:spacing w:before="60" w:after="60" w:line="240" w:lineRule="auto"/>
              <w:rPr>
                <w:rFonts w:ascii="Arial" w:eastAsia="Times New Roman" w:hAnsi="Arial" w:cs="Arial"/>
                <w:b/>
              </w:rPr>
            </w:pPr>
            <w:r>
              <w:rPr>
                <w:rFonts w:ascii="Arial" w:eastAsia="Times New Roman" w:hAnsi="Arial" w:cs="Arial"/>
                <w:b/>
              </w:rPr>
              <w:t>Target</w:t>
            </w:r>
            <w:r w:rsidR="00CA05A4" w:rsidRPr="004C703B">
              <w:rPr>
                <w:rFonts w:ascii="Arial" w:eastAsia="Times New Roman" w:hAnsi="Arial" w:cs="Arial"/>
                <w:b/>
              </w:rPr>
              <w:t xml:space="preserve"> Headcount </w:t>
            </w:r>
          </w:p>
        </w:tc>
        <w:tc>
          <w:tcPr>
            <w:tcW w:w="1770" w:type="dxa"/>
            <w:shd w:val="clear" w:color="auto" w:fill="auto"/>
            <w:vAlign w:val="center"/>
          </w:tcPr>
          <w:p w:rsidR="00CA05A4" w:rsidRPr="004C703B" w:rsidRDefault="0021386F" w:rsidP="000808AE">
            <w:pPr>
              <w:spacing w:before="60" w:after="60" w:line="240" w:lineRule="auto"/>
              <w:jc w:val="right"/>
              <w:rPr>
                <w:rFonts w:ascii="Arial" w:eastAsia="Times New Roman" w:hAnsi="Arial" w:cs="Arial"/>
              </w:rPr>
            </w:pPr>
            <w:r w:rsidRPr="004C703B">
              <w:rPr>
                <w:rFonts w:ascii="Arial" w:eastAsia="Times New Roman" w:hAnsi="Arial" w:cs="Arial"/>
              </w:rPr>
              <w:t>650</w:t>
            </w:r>
            <w:r w:rsidR="004C703B">
              <w:rPr>
                <w:rFonts w:ascii="Arial" w:eastAsia="Times New Roman" w:hAnsi="Arial" w:cs="Arial"/>
              </w:rPr>
              <w:t xml:space="preserve"> </w:t>
            </w:r>
            <w:r w:rsidRPr="004C703B">
              <w:rPr>
                <w:rFonts w:ascii="Arial" w:eastAsia="Times New Roman" w:hAnsi="Arial" w:cs="Arial"/>
              </w:rPr>
              <w:t>000</w:t>
            </w:r>
          </w:p>
        </w:tc>
        <w:tc>
          <w:tcPr>
            <w:tcW w:w="1559"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660</w:t>
            </w:r>
            <w:r w:rsidR="004C703B">
              <w:rPr>
                <w:rFonts w:ascii="Arial" w:eastAsia="Times New Roman" w:hAnsi="Arial" w:cs="Arial"/>
              </w:rPr>
              <w:t xml:space="preserve"> </w:t>
            </w:r>
            <w:r w:rsidRPr="004C703B">
              <w:rPr>
                <w:rFonts w:ascii="Arial" w:eastAsia="Times New Roman" w:hAnsi="Arial" w:cs="Arial"/>
              </w:rPr>
              <w:t>000</w:t>
            </w:r>
          </w:p>
        </w:tc>
        <w:tc>
          <w:tcPr>
            <w:tcW w:w="1843"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755</w:t>
            </w:r>
            <w:r w:rsidR="004C703B">
              <w:rPr>
                <w:rFonts w:ascii="Arial" w:eastAsia="Times New Roman" w:hAnsi="Arial" w:cs="Arial"/>
              </w:rPr>
              <w:t xml:space="preserve"> </w:t>
            </w:r>
            <w:r w:rsidRPr="004C703B">
              <w:rPr>
                <w:rFonts w:ascii="Arial" w:eastAsia="Times New Roman" w:hAnsi="Arial" w:cs="Arial"/>
              </w:rPr>
              <w:t>000</w:t>
            </w:r>
          </w:p>
        </w:tc>
        <w:tc>
          <w:tcPr>
            <w:tcW w:w="2126" w:type="dxa"/>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664</w:t>
            </w:r>
            <w:r w:rsidR="004C703B">
              <w:rPr>
                <w:rFonts w:ascii="Arial" w:eastAsia="Times New Roman" w:hAnsi="Arial" w:cs="Arial"/>
              </w:rPr>
              <w:t xml:space="preserve"> </w:t>
            </w:r>
            <w:r w:rsidRPr="004C703B">
              <w:rPr>
                <w:rFonts w:ascii="Arial" w:eastAsia="Times New Roman" w:hAnsi="Arial" w:cs="Arial"/>
              </w:rPr>
              <w:t>748</w:t>
            </w:r>
          </w:p>
        </w:tc>
      </w:tr>
      <w:tr w:rsidR="00BA3FC5" w:rsidRPr="004C703B" w:rsidTr="000808AE">
        <w:trPr>
          <w:trHeight w:val="668"/>
        </w:trPr>
        <w:tc>
          <w:tcPr>
            <w:tcW w:w="2058" w:type="dxa"/>
            <w:shd w:val="clear" w:color="auto" w:fill="auto"/>
            <w:vAlign w:val="center"/>
          </w:tcPr>
          <w:p w:rsidR="00CA05A4" w:rsidRPr="004C703B" w:rsidRDefault="00CA05A4" w:rsidP="000808AE">
            <w:pPr>
              <w:spacing w:before="60" w:after="60" w:line="240" w:lineRule="auto"/>
              <w:rPr>
                <w:rFonts w:ascii="Arial" w:eastAsia="Times New Roman" w:hAnsi="Arial" w:cs="Arial"/>
                <w:b/>
              </w:rPr>
            </w:pPr>
            <w:r w:rsidRPr="004C703B">
              <w:rPr>
                <w:rFonts w:ascii="Arial" w:eastAsia="Times New Roman" w:hAnsi="Arial" w:cs="Arial"/>
                <w:b/>
              </w:rPr>
              <w:t>Actual Headcount</w:t>
            </w:r>
          </w:p>
        </w:tc>
        <w:tc>
          <w:tcPr>
            <w:tcW w:w="1770" w:type="dxa"/>
            <w:shd w:val="clear" w:color="auto" w:fill="auto"/>
            <w:vAlign w:val="center"/>
          </w:tcPr>
          <w:p w:rsidR="00CA05A4" w:rsidRPr="004C703B" w:rsidRDefault="0021386F" w:rsidP="000808AE">
            <w:pPr>
              <w:spacing w:before="60" w:after="60" w:line="240" w:lineRule="auto"/>
              <w:jc w:val="right"/>
              <w:rPr>
                <w:rFonts w:ascii="Arial" w:eastAsia="Times New Roman" w:hAnsi="Arial" w:cs="Arial"/>
              </w:rPr>
            </w:pPr>
            <w:r w:rsidRPr="004C703B">
              <w:rPr>
                <w:rFonts w:ascii="Arial" w:eastAsia="Times New Roman" w:hAnsi="Arial" w:cs="Arial"/>
              </w:rPr>
              <w:t>670</w:t>
            </w:r>
            <w:r w:rsidR="004C703B">
              <w:rPr>
                <w:rFonts w:ascii="Arial" w:eastAsia="Times New Roman" w:hAnsi="Arial" w:cs="Arial"/>
              </w:rPr>
              <w:t xml:space="preserve"> </w:t>
            </w:r>
            <w:r w:rsidRPr="004C703B">
              <w:rPr>
                <w:rFonts w:ascii="Arial" w:eastAsia="Times New Roman" w:hAnsi="Arial" w:cs="Arial"/>
              </w:rPr>
              <w:t>455</w:t>
            </w:r>
          </w:p>
        </w:tc>
        <w:tc>
          <w:tcPr>
            <w:tcW w:w="1559"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664</w:t>
            </w:r>
            <w:r w:rsidR="004C703B">
              <w:rPr>
                <w:rFonts w:ascii="Arial" w:eastAsia="Times New Roman" w:hAnsi="Arial" w:cs="Arial"/>
              </w:rPr>
              <w:t xml:space="preserve"> </w:t>
            </w:r>
            <w:r w:rsidRPr="004C703B">
              <w:rPr>
                <w:rFonts w:ascii="Arial" w:eastAsia="Times New Roman" w:hAnsi="Arial" w:cs="Arial"/>
              </w:rPr>
              <w:t>748</w:t>
            </w:r>
          </w:p>
        </w:tc>
        <w:tc>
          <w:tcPr>
            <w:tcW w:w="1843" w:type="dxa"/>
            <w:shd w:val="clear" w:color="auto" w:fill="auto"/>
            <w:vAlign w:val="center"/>
          </w:tcPr>
          <w:p w:rsidR="00CA05A4" w:rsidRPr="004C703B" w:rsidRDefault="002D2DF9" w:rsidP="000808AE">
            <w:pPr>
              <w:spacing w:before="60" w:after="60" w:line="240" w:lineRule="auto"/>
              <w:jc w:val="right"/>
              <w:rPr>
                <w:rFonts w:ascii="Arial" w:eastAsia="Times New Roman" w:hAnsi="Arial" w:cs="Arial"/>
              </w:rPr>
            </w:pPr>
            <w:r w:rsidRPr="004C703B">
              <w:rPr>
                <w:rFonts w:ascii="Arial" w:eastAsia="Times New Roman" w:hAnsi="Arial" w:cs="Arial"/>
              </w:rPr>
              <w:t>To be confirmed</w:t>
            </w:r>
          </w:p>
        </w:tc>
        <w:tc>
          <w:tcPr>
            <w:tcW w:w="2126" w:type="dxa"/>
            <w:vAlign w:val="center"/>
          </w:tcPr>
          <w:p w:rsidR="00CA05A4" w:rsidRPr="004C703B" w:rsidRDefault="002D2DF9" w:rsidP="000808AE">
            <w:pPr>
              <w:spacing w:before="60" w:after="60" w:line="240" w:lineRule="auto"/>
              <w:jc w:val="right"/>
              <w:rPr>
                <w:rFonts w:ascii="Arial" w:eastAsia="Times New Roman" w:hAnsi="Arial" w:cs="Arial"/>
              </w:rPr>
            </w:pPr>
            <w:r w:rsidRPr="004C703B">
              <w:rPr>
                <w:rFonts w:ascii="Arial" w:eastAsia="Times New Roman" w:hAnsi="Arial" w:cs="Arial"/>
              </w:rPr>
              <w:t>To be confirmed</w:t>
            </w:r>
          </w:p>
        </w:tc>
      </w:tr>
      <w:tr w:rsidR="00BA3FC5" w:rsidRPr="004C703B" w:rsidTr="004C703B">
        <w:tc>
          <w:tcPr>
            <w:tcW w:w="2058" w:type="dxa"/>
            <w:shd w:val="clear" w:color="auto" w:fill="auto"/>
            <w:vAlign w:val="center"/>
          </w:tcPr>
          <w:p w:rsidR="00CA05A4" w:rsidRPr="004C703B" w:rsidRDefault="00CA05A4" w:rsidP="000808AE">
            <w:pPr>
              <w:spacing w:before="60" w:after="60" w:line="240" w:lineRule="auto"/>
              <w:rPr>
                <w:rFonts w:ascii="Arial" w:eastAsia="Times New Roman" w:hAnsi="Arial" w:cs="Arial"/>
                <w:b/>
              </w:rPr>
            </w:pPr>
            <w:r w:rsidRPr="004C703B">
              <w:rPr>
                <w:rFonts w:ascii="Arial" w:eastAsia="Times New Roman" w:hAnsi="Arial" w:cs="Arial"/>
                <w:b/>
              </w:rPr>
              <w:t xml:space="preserve">Total </w:t>
            </w:r>
            <w:r w:rsidR="00D151E0">
              <w:rPr>
                <w:rFonts w:ascii="Arial" w:eastAsia="Times New Roman" w:hAnsi="Arial" w:cs="Arial"/>
                <w:b/>
              </w:rPr>
              <w:t>Full-Time Equivalents (</w:t>
            </w:r>
            <w:r w:rsidRPr="004C703B">
              <w:rPr>
                <w:rFonts w:ascii="Arial" w:eastAsia="Times New Roman" w:hAnsi="Arial" w:cs="Arial"/>
                <w:b/>
              </w:rPr>
              <w:t>FTE’s</w:t>
            </w:r>
            <w:r w:rsidR="00D151E0">
              <w:rPr>
                <w:rFonts w:ascii="Arial" w:eastAsia="Times New Roman" w:hAnsi="Arial" w:cs="Arial"/>
                <w:b/>
              </w:rPr>
              <w:t>)</w:t>
            </w:r>
          </w:p>
        </w:tc>
        <w:tc>
          <w:tcPr>
            <w:tcW w:w="1770" w:type="dxa"/>
            <w:shd w:val="clear" w:color="auto" w:fill="auto"/>
            <w:vAlign w:val="center"/>
          </w:tcPr>
          <w:p w:rsidR="00CA05A4" w:rsidRPr="004C703B" w:rsidRDefault="0021386F" w:rsidP="000808AE">
            <w:pPr>
              <w:spacing w:before="60" w:after="60" w:line="240" w:lineRule="auto"/>
              <w:jc w:val="right"/>
              <w:rPr>
                <w:rFonts w:ascii="Arial" w:eastAsia="Times New Roman" w:hAnsi="Arial" w:cs="Arial"/>
              </w:rPr>
            </w:pPr>
            <w:r w:rsidRPr="004C703B">
              <w:rPr>
                <w:rFonts w:ascii="Arial" w:eastAsia="Times New Roman" w:hAnsi="Arial" w:cs="Arial"/>
              </w:rPr>
              <w:t>325</w:t>
            </w:r>
            <w:r w:rsidR="004C703B">
              <w:rPr>
                <w:rFonts w:ascii="Arial" w:eastAsia="Times New Roman" w:hAnsi="Arial" w:cs="Arial"/>
              </w:rPr>
              <w:t xml:space="preserve"> </w:t>
            </w:r>
            <w:r w:rsidRPr="004C703B">
              <w:rPr>
                <w:rFonts w:ascii="Arial" w:eastAsia="Times New Roman" w:hAnsi="Arial" w:cs="Arial"/>
              </w:rPr>
              <w:t>507</w:t>
            </w:r>
          </w:p>
        </w:tc>
        <w:tc>
          <w:tcPr>
            <w:tcW w:w="1559"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322</w:t>
            </w:r>
            <w:r w:rsidR="004C703B">
              <w:rPr>
                <w:rFonts w:ascii="Arial" w:eastAsia="Times New Roman" w:hAnsi="Arial" w:cs="Arial"/>
              </w:rPr>
              <w:t xml:space="preserve"> </w:t>
            </w:r>
            <w:r w:rsidRPr="004C703B">
              <w:rPr>
                <w:rFonts w:ascii="Arial" w:eastAsia="Times New Roman" w:hAnsi="Arial" w:cs="Arial"/>
              </w:rPr>
              <w:t>737</w:t>
            </w:r>
          </w:p>
        </w:tc>
        <w:tc>
          <w:tcPr>
            <w:tcW w:w="1843"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368 888</w:t>
            </w:r>
          </w:p>
        </w:tc>
        <w:tc>
          <w:tcPr>
            <w:tcW w:w="2126" w:type="dxa"/>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322</w:t>
            </w:r>
            <w:r w:rsidR="004C703B">
              <w:rPr>
                <w:rFonts w:ascii="Arial" w:eastAsia="Times New Roman" w:hAnsi="Arial" w:cs="Arial"/>
              </w:rPr>
              <w:t xml:space="preserve"> </w:t>
            </w:r>
            <w:r w:rsidRPr="004C703B">
              <w:rPr>
                <w:rFonts w:ascii="Arial" w:eastAsia="Times New Roman" w:hAnsi="Arial" w:cs="Arial"/>
              </w:rPr>
              <w:t>737</w:t>
            </w:r>
          </w:p>
        </w:tc>
      </w:tr>
      <w:tr w:rsidR="00BA3FC5" w:rsidRPr="004C703B" w:rsidTr="004C703B">
        <w:tc>
          <w:tcPr>
            <w:tcW w:w="2058" w:type="dxa"/>
            <w:shd w:val="clear" w:color="auto" w:fill="auto"/>
            <w:vAlign w:val="center"/>
          </w:tcPr>
          <w:p w:rsidR="00CA05A4" w:rsidRPr="004C703B" w:rsidRDefault="00CA05A4" w:rsidP="000808AE">
            <w:pPr>
              <w:spacing w:before="60" w:after="60" w:line="240" w:lineRule="auto"/>
              <w:rPr>
                <w:rFonts w:ascii="Arial" w:eastAsia="Times New Roman" w:hAnsi="Arial" w:cs="Arial"/>
                <w:b/>
              </w:rPr>
            </w:pPr>
            <w:r w:rsidRPr="004C703B">
              <w:rPr>
                <w:rFonts w:ascii="Arial" w:eastAsia="Times New Roman" w:hAnsi="Arial" w:cs="Arial"/>
                <w:b/>
              </w:rPr>
              <w:t>Funded FTE’s</w:t>
            </w:r>
          </w:p>
        </w:tc>
        <w:tc>
          <w:tcPr>
            <w:tcW w:w="1770" w:type="dxa"/>
            <w:shd w:val="clear" w:color="auto" w:fill="auto"/>
            <w:vAlign w:val="center"/>
          </w:tcPr>
          <w:p w:rsidR="00CA05A4" w:rsidRPr="004C703B" w:rsidRDefault="0021386F" w:rsidP="000808AE">
            <w:pPr>
              <w:spacing w:before="60" w:after="60" w:line="240" w:lineRule="auto"/>
              <w:jc w:val="right"/>
              <w:rPr>
                <w:rFonts w:ascii="Arial" w:eastAsia="Times New Roman" w:hAnsi="Arial" w:cs="Arial"/>
              </w:rPr>
            </w:pPr>
            <w:r w:rsidRPr="004C703B">
              <w:rPr>
                <w:rFonts w:ascii="Arial" w:eastAsia="Times New Roman" w:hAnsi="Arial" w:cs="Arial"/>
              </w:rPr>
              <w:t>235</w:t>
            </w:r>
            <w:r w:rsidR="004C703B">
              <w:rPr>
                <w:rFonts w:ascii="Arial" w:eastAsia="Times New Roman" w:hAnsi="Arial" w:cs="Arial"/>
              </w:rPr>
              <w:t xml:space="preserve"> </w:t>
            </w:r>
            <w:r w:rsidRPr="004C703B">
              <w:rPr>
                <w:rFonts w:ascii="Arial" w:eastAsia="Times New Roman" w:hAnsi="Arial" w:cs="Arial"/>
              </w:rPr>
              <w:t>714</w:t>
            </w:r>
          </w:p>
        </w:tc>
        <w:tc>
          <w:tcPr>
            <w:tcW w:w="1559"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233</w:t>
            </w:r>
            <w:r w:rsidR="004C703B">
              <w:rPr>
                <w:rFonts w:ascii="Arial" w:eastAsia="Times New Roman" w:hAnsi="Arial" w:cs="Arial"/>
              </w:rPr>
              <w:t xml:space="preserve"> </w:t>
            </w:r>
            <w:r w:rsidRPr="004C703B">
              <w:rPr>
                <w:rFonts w:ascii="Arial" w:eastAsia="Times New Roman" w:hAnsi="Arial" w:cs="Arial"/>
              </w:rPr>
              <w:t>708</w:t>
            </w:r>
          </w:p>
        </w:tc>
        <w:tc>
          <w:tcPr>
            <w:tcW w:w="1843"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238 744</w:t>
            </w:r>
          </w:p>
        </w:tc>
        <w:tc>
          <w:tcPr>
            <w:tcW w:w="2126" w:type="dxa"/>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233</w:t>
            </w:r>
            <w:r w:rsidR="004C703B">
              <w:rPr>
                <w:rFonts w:ascii="Arial" w:eastAsia="Times New Roman" w:hAnsi="Arial" w:cs="Arial"/>
              </w:rPr>
              <w:t xml:space="preserve"> </w:t>
            </w:r>
            <w:r w:rsidRPr="004C703B">
              <w:rPr>
                <w:rFonts w:ascii="Arial" w:eastAsia="Times New Roman" w:hAnsi="Arial" w:cs="Arial"/>
              </w:rPr>
              <w:t>708</w:t>
            </w:r>
          </w:p>
        </w:tc>
      </w:tr>
      <w:tr w:rsidR="00BA3FC5" w:rsidRPr="004C703B" w:rsidTr="004C703B">
        <w:tc>
          <w:tcPr>
            <w:tcW w:w="2058" w:type="dxa"/>
            <w:shd w:val="clear" w:color="auto" w:fill="auto"/>
            <w:vAlign w:val="center"/>
          </w:tcPr>
          <w:p w:rsidR="00CA05A4" w:rsidRPr="004C703B" w:rsidRDefault="00CA05A4" w:rsidP="000808AE">
            <w:pPr>
              <w:spacing w:before="60" w:after="60" w:line="240" w:lineRule="auto"/>
              <w:rPr>
                <w:rFonts w:ascii="Arial" w:eastAsia="Times New Roman" w:hAnsi="Arial" w:cs="Arial"/>
                <w:b/>
              </w:rPr>
            </w:pPr>
            <w:r w:rsidRPr="004C703B">
              <w:rPr>
                <w:rFonts w:ascii="Arial" w:eastAsia="Times New Roman" w:hAnsi="Arial" w:cs="Arial"/>
                <w:b/>
              </w:rPr>
              <w:t>Unfunded FTE’s</w:t>
            </w:r>
          </w:p>
        </w:tc>
        <w:tc>
          <w:tcPr>
            <w:tcW w:w="1770" w:type="dxa"/>
            <w:shd w:val="clear" w:color="auto" w:fill="auto"/>
            <w:vAlign w:val="center"/>
          </w:tcPr>
          <w:p w:rsidR="00CA05A4" w:rsidRPr="004C703B" w:rsidRDefault="0021386F" w:rsidP="000808AE">
            <w:pPr>
              <w:spacing w:before="60" w:after="60" w:line="240" w:lineRule="auto"/>
              <w:jc w:val="right"/>
              <w:rPr>
                <w:rFonts w:ascii="Arial" w:eastAsia="Times New Roman" w:hAnsi="Arial" w:cs="Arial"/>
              </w:rPr>
            </w:pPr>
            <w:r w:rsidRPr="004C703B">
              <w:rPr>
                <w:rFonts w:ascii="Arial" w:eastAsia="Times New Roman" w:hAnsi="Arial" w:cs="Arial"/>
              </w:rPr>
              <w:t>89</w:t>
            </w:r>
            <w:r w:rsidR="004C703B">
              <w:rPr>
                <w:rFonts w:ascii="Arial" w:eastAsia="Times New Roman" w:hAnsi="Arial" w:cs="Arial"/>
              </w:rPr>
              <w:t xml:space="preserve"> </w:t>
            </w:r>
            <w:r w:rsidRPr="004C703B">
              <w:rPr>
                <w:rFonts w:ascii="Arial" w:eastAsia="Times New Roman" w:hAnsi="Arial" w:cs="Arial"/>
              </w:rPr>
              <w:t>793</w:t>
            </w:r>
          </w:p>
        </w:tc>
        <w:tc>
          <w:tcPr>
            <w:tcW w:w="1559" w:type="dxa"/>
            <w:shd w:val="clear" w:color="auto" w:fill="auto"/>
            <w:vAlign w:val="center"/>
          </w:tcPr>
          <w:p w:rsidR="00CA05A4" w:rsidRPr="004C703B" w:rsidRDefault="004C703B" w:rsidP="000808AE">
            <w:pPr>
              <w:spacing w:before="60" w:after="60" w:line="240" w:lineRule="auto"/>
              <w:jc w:val="right"/>
              <w:rPr>
                <w:rFonts w:ascii="Arial" w:eastAsia="Times New Roman" w:hAnsi="Arial" w:cs="Arial"/>
              </w:rPr>
            </w:pPr>
            <w:r>
              <w:rPr>
                <w:rFonts w:ascii="Arial" w:eastAsia="Times New Roman" w:hAnsi="Arial" w:cs="Arial"/>
              </w:rPr>
              <w:t xml:space="preserve">89 </w:t>
            </w:r>
            <w:r w:rsidR="00CA05A4" w:rsidRPr="004C703B">
              <w:rPr>
                <w:rFonts w:ascii="Arial" w:eastAsia="Times New Roman" w:hAnsi="Arial" w:cs="Arial"/>
              </w:rPr>
              <w:t>029</w:t>
            </w:r>
          </w:p>
        </w:tc>
        <w:tc>
          <w:tcPr>
            <w:tcW w:w="1843" w:type="dxa"/>
            <w:shd w:val="clear" w:color="auto" w:fill="auto"/>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130 144</w:t>
            </w:r>
          </w:p>
        </w:tc>
        <w:tc>
          <w:tcPr>
            <w:tcW w:w="2126" w:type="dxa"/>
            <w:vAlign w:val="center"/>
          </w:tcPr>
          <w:p w:rsidR="00CA05A4" w:rsidRPr="004C703B" w:rsidRDefault="00CA05A4" w:rsidP="000808AE">
            <w:pPr>
              <w:spacing w:before="60" w:after="60" w:line="240" w:lineRule="auto"/>
              <w:jc w:val="right"/>
              <w:rPr>
                <w:rFonts w:ascii="Arial" w:eastAsia="Times New Roman" w:hAnsi="Arial" w:cs="Arial"/>
              </w:rPr>
            </w:pPr>
            <w:r w:rsidRPr="004C703B">
              <w:rPr>
                <w:rFonts w:ascii="Arial" w:eastAsia="Times New Roman" w:hAnsi="Arial" w:cs="Arial"/>
              </w:rPr>
              <w:t>89</w:t>
            </w:r>
            <w:r w:rsidR="004C703B">
              <w:rPr>
                <w:rFonts w:ascii="Arial" w:eastAsia="Times New Roman" w:hAnsi="Arial" w:cs="Arial"/>
              </w:rPr>
              <w:t xml:space="preserve"> </w:t>
            </w:r>
            <w:r w:rsidRPr="004C703B">
              <w:rPr>
                <w:rFonts w:ascii="Arial" w:eastAsia="Times New Roman" w:hAnsi="Arial" w:cs="Arial"/>
              </w:rPr>
              <w:t>029</w:t>
            </w:r>
          </w:p>
        </w:tc>
      </w:tr>
    </w:tbl>
    <w:p w:rsidR="00D151E0" w:rsidRDefault="00D151E0" w:rsidP="00D151E0">
      <w:pPr>
        <w:spacing w:before="100" w:beforeAutospacing="1" w:after="100" w:afterAutospacing="1" w:line="360" w:lineRule="auto"/>
        <w:ind w:left="426"/>
        <w:jc w:val="both"/>
        <w:outlineLvl w:val="0"/>
        <w:rPr>
          <w:rFonts w:ascii="Arial" w:hAnsi="Arial" w:cs="Arial"/>
          <w:b/>
        </w:rPr>
      </w:pPr>
    </w:p>
    <w:p w:rsidR="00F028EF" w:rsidRPr="00C34C19" w:rsidRDefault="00567927" w:rsidP="004C703B">
      <w:pPr>
        <w:numPr>
          <w:ilvl w:val="0"/>
          <w:numId w:val="44"/>
        </w:numPr>
        <w:spacing w:before="100" w:beforeAutospacing="1" w:after="100" w:afterAutospacing="1" w:line="360" w:lineRule="auto"/>
        <w:ind w:left="426" w:hanging="426"/>
        <w:jc w:val="both"/>
        <w:outlineLvl w:val="0"/>
        <w:rPr>
          <w:rFonts w:ascii="Arial" w:hAnsi="Arial" w:cs="Arial"/>
          <w:b/>
        </w:rPr>
      </w:pPr>
      <w:r w:rsidRPr="00C34C19">
        <w:rPr>
          <w:rFonts w:ascii="Arial" w:hAnsi="Arial" w:cs="Arial"/>
          <w:b/>
        </w:rPr>
        <w:t>TVET Fiscus budget allocations: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1918"/>
        <w:gridCol w:w="1800"/>
        <w:gridCol w:w="2336"/>
      </w:tblGrid>
      <w:tr w:rsidR="008F0123" w:rsidRPr="00C34C19" w:rsidTr="000808AE">
        <w:trPr>
          <w:trHeight w:val="411"/>
        </w:trPr>
        <w:tc>
          <w:tcPr>
            <w:tcW w:w="3302" w:type="dxa"/>
            <w:vMerge w:val="restart"/>
            <w:shd w:val="clear" w:color="auto" w:fill="auto"/>
            <w:vAlign w:val="center"/>
          </w:tcPr>
          <w:p w:rsidR="008F0123" w:rsidRPr="004C703B" w:rsidRDefault="00D151E0" w:rsidP="000808AE">
            <w:pPr>
              <w:spacing w:before="60" w:after="60" w:line="240" w:lineRule="auto"/>
              <w:jc w:val="center"/>
              <w:rPr>
                <w:rFonts w:ascii="Arial" w:eastAsia="Times New Roman" w:hAnsi="Arial" w:cs="Arial"/>
                <w:b/>
              </w:rPr>
            </w:pPr>
            <w:r>
              <w:rPr>
                <w:rFonts w:ascii="Arial" w:eastAsia="Times New Roman" w:hAnsi="Arial" w:cs="Arial"/>
                <w:b/>
              </w:rPr>
              <w:t>Funding Classification</w:t>
            </w:r>
          </w:p>
        </w:tc>
        <w:tc>
          <w:tcPr>
            <w:tcW w:w="1918" w:type="dxa"/>
            <w:shd w:val="clear" w:color="auto" w:fill="auto"/>
          </w:tcPr>
          <w:p w:rsidR="008F0123" w:rsidRPr="004C703B" w:rsidRDefault="008F0123" w:rsidP="000808AE">
            <w:pPr>
              <w:spacing w:before="60" w:after="60" w:line="240" w:lineRule="auto"/>
              <w:jc w:val="center"/>
              <w:rPr>
                <w:rFonts w:ascii="Arial" w:eastAsia="Times New Roman" w:hAnsi="Arial" w:cs="Arial"/>
                <w:b/>
              </w:rPr>
            </w:pPr>
            <w:r w:rsidRPr="004C703B">
              <w:rPr>
                <w:rFonts w:ascii="Arial" w:eastAsia="Times New Roman" w:hAnsi="Arial" w:cs="Arial"/>
                <w:b/>
              </w:rPr>
              <w:t>2014/15</w:t>
            </w:r>
          </w:p>
        </w:tc>
        <w:tc>
          <w:tcPr>
            <w:tcW w:w="1800" w:type="dxa"/>
            <w:shd w:val="clear" w:color="auto" w:fill="auto"/>
          </w:tcPr>
          <w:p w:rsidR="008F0123" w:rsidRPr="004C703B" w:rsidRDefault="008F0123" w:rsidP="000808AE">
            <w:pPr>
              <w:spacing w:before="60" w:after="60" w:line="240" w:lineRule="auto"/>
              <w:jc w:val="center"/>
              <w:rPr>
                <w:rFonts w:ascii="Arial" w:eastAsia="Times New Roman" w:hAnsi="Arial" w:cs="Arial"/>
                <w:b/>
              </w:rPr>
            </w:pPr>
            <w:r w:rsidRPr="004C703B">
              <w:rPr>
                <w:rFonts w:ascii="Arial" w:eastAsia="Times New Roman" w:hAnsi="Arial" w:cs="Arial"/>
                <w:b/>
              </w:rPr>
              <w:t>2015/16</w:t>
            </w:r>
          </w:p>
        </w:tc>
        <w:tc>
          <w:tcPr>
            <w:tcW w:w="2336" w:type="dxa"/>
            <w:shd w:val="clear" w:color="auto" w:fill="auto"/>
          </w:tcPr>
          <w:p w:rsidR="008F0123" w:rsidRPr="004C703B" w:rsidRDefault="008F0123" w:rsidP="000808AE">
            <w:pPr>
              <w:spacing w:before="60" w:after="60" w:line="240" w:lineRule="auto"/>
              <w:jc w:val="center"/>
              <w:rPr>
                <w:rFonts w:ascii="Arial" w:eastAsia="Times New Roman" w:hAnsi="Arial" w:cs="Arial"/>
                <w:b/>
              </w:rPr>
            </w:pPr>
            <w:r w:rsidRPr="004C703B">
              <w:rPr>
                <w:rFonts w:ascii="Arial" w:eastAsia="Times New Roman" w:hAnsi="Arial" w:cs="Arial"/>
                <w:b/>
              </w:rPr>
              <w:t>2016/17</w:t>
            </w:r>
          </w:p>
        </w:tc>
      </w:tr>
      <w:tr w:rsidR="008F0123" w:rsidRPr="00C34C19" w:rsidTr="004C703B">
        <w:tc>
          <w:tcPr>
            <w:tcW w:w="3302" w:type="dxa"/>
            <w:vMerge/>
            <w:shd w:val="clear" w:color="auto" w:fill="auto"/>
          </w:tcPr>
          <w:p w:rsidR="008F0123" w:rsidRPr="004C703B" w:rsidRDefault="008F0123" w:rsidP="000808AE">
            <w:pPr>
              <w:spacing w:before="60" w:after="60" w:line="240" w:lineRule="auto"/>
              <w:rPr>
                <w:rFonts w:ascii="Arial" w:eastAsia="Times New Roman" w:hAnsi="Arial" w:cs="Arial"/>
                <w:b/>
              </w:rPr>
            </w:pPr>
          </w:p>
        </w:tc>
        <w:tc>
          <w:tcPr>
            <w:tcW w:w="1918" w:type="dxa"/>
            <w:shd w:val="clear" w:color="auto" w:fill="auto"/>
          </w:tcPr>
          <w:p w:rsidR="008F0123" w:rsidRPr="004C703B" w:rsidRDefault="008F0123" w:rsidP="000808AE">
            <w:pPr>
              <w:spacing w:before="60" w:after="60" w:line="240" w:lineRule="auto"/>
              <w:jc w:val="center"/>
              <w:rPr>
                <w:rFonts w:ascii="Arial" w:eastAsia="Times New Roman" w:hAnsi="Arial" w:cs="Arial"/>
                <w:b/>
              </w:rPr>
            </w:pPr>
            <w:r w:rsidRPr="004C703B">
              <w:rPr>
                <w:rFonts w:ascii="Arial" w:eastAsia="Times New Roman" w:hAnsi="Arial" w:cs="Arial"/>
                <w:b/>
              </w:rPr>
              <w:t>R’000</w:t>
            </w:r>
          </w:p>
        </w:tc>
        <w:tc>
          <w:tcPr>
            <w:tcW w:w="1800" w:type="dxa"/>
            <w:shd w:val="clear" w:color="auto" w:fill="auto"/>
          </w:tcPr>
          <w:p w:rsidR="008F0123" w:rsidRPr="004C703B" w:rsidRDefault="008F0123" w:rsidP="000808AE">
            <w:pPr>
              <w:spacing w:before="60" w:after="60" w:line="240" w:lineRule="auto"/>
              <w:jc w:val="center"/>
              <w:rPr>
                <w:rFonts w:ascii="Arial" w:eastAsia="Times New Roman" w:hAnsi="Arial" w:cs="Arial"/>
                <w:b/>
              </w:rPr>
            </w:pPr>
            <w:r w:rsidRPr="004C703B">
              <w:rPr>
                <w:rFonts w:ascii="Arial" w:eastAsia="Times New Roman" w:hAnsi="Arial" w:cs="Arial"/>
                <w:b/>
              </w:rPr>
              <w:t>R’000</w:t>
            </w:r>
          </w:p>
        </w:tc>
        <w:tc>
          <w:tcPr>
            <w:tcW w:w="2336" w:type="dxa"/>
            <w:shd w:val="clear" w:color="auto" w:fill="auto"/>
          </w:tcPr>
          <w:p w:rsidR="008F0123" w:rsidRPr="004C703B" w:rsidRDefault="008F0123" w:rsidP="000808AE">
            <w:pPr>
              <w:spacing w:before="60" w:after="60" w:line="240" w:lineRule="auto"/>
              <w:jc w:val="center"/>
              <w:rPr>
                <w:rFonts w:ascii="Arial" w:eastAsia="Times New Roman" w:hAnsi="Arial" w:cs="Arial"/>
                <w:b/>
              </w:rPr>
            </w:pPr>
            <w:r w:rsidRPr="004C703B">
              <w:rPr>
                <w:rFonts w:ascii="Arial" w:eastAsia="Times New Roman" w:hAnsi="Arial" w:cs="Arial"/>
                <w:b/>
              </w:rPr>
              <w:t>R’000</w:t>
            </w:r>
          </w:p>
        </w:tc>
      </w:tr>
      <w:tr w:rsidR="00AB0581" w:rsidRPr="00C34C19" w:rsidTr="004C703B">
        <w:tc>
          <w:tcPr>
            <w:tcW w:w="3302" w:type="dxa"/>
            <w:shd w:val="clear" w:color="auto" w:fill="auto"/>
          </w:tcPr>
          <w:p w:rsidR="00AB0581" w:rsidRPr="004C703B" w:rsidRDefault="00AB0581" w:rsidP="00B561C8">
            <w:pPr>
              <w:numPr>
                <w:ilvl w:val="0"/>
                <w:numId w:val="47"/>
              </w:numPr>
              <w:spacing w:before="60" w:after="60" w:line="240" w:lineRule="auto"/>
              <w:ind w:left="459" w:hanging="425"/>
              <w:rPr>
                <w:rFonts w:ascii="Arial" w:eastAsia="Times New Roman" w:hAnsi="Arial" w:cs="Arial"/>
                <w:b/>
              </w:rPr>
            </w:pPr>
            <w:r w:rsidRPr="004C703B">
              <w:rPr>
                <w:rFonts w:ascii="Arial" w:eastAsia="Times New Roman" w:hAnsi="Arial" w:cs="Arial"/>
                <w:b/>
              </w:rPr>
              <w:t>Compensation of Employees</w:t>
            </w:r>
          </w:p>
        </w:tc>
        <w:tc>
          <w:tcPr>
            <w:tcW w:w="1918" w:type="dxa"/>
            <w:shd w:val="clear" w:color="auto" w:fill="auto"/>
          </w:tcPr>
          <w:p w:rsidR="00AB0581" w:rsidRPr="004C703B" w:rsidRDefault="00045FC1" w:rsidP="000808AE">
            <w:pPr>
              <w:spacing w:before="60" w:after="60" w:line="240" w:lineRule="auto"/>
              <w:jc w:val="right"/>
              <w:rPr>
                <w:rFonts w:ascii="Arial" w:eastAsia="Times New Roman" w:hAnsi="Arial" w:cs="Arial"/>
              </w:rPr>
            </w:pPr>
            <w:r w:rsidRPr="004C703B">
              <w:rPr>
                <w:rFonts w:ascii="Arial" w:eastAsia="Times New Roman" w:hAnsi="Arial" w:cs="Arial"/>
              </w:rPr>
              <w:t>2 540 505</w:t>
            </w:r>
          </w:p>
        </w:tc>
        <w:tc>
          <w:tcPr>
            <w:tcW w:w="1800" w:type="dxa"/>
            <w:shd w:val="clear" w:color="auto" w:fill="auto"/>
          </w:tcPr>
          <w:p w:rsidR="00AB0581" w:rsidRPr="004C703B" w:rsidRDefault="00AB0581" w:rsidP="000808AE">
            <w:pPr>
              <w:spacing w:before="60" w:after="60" w:line="240" w:lineRule="auto"/>
              <w:jc w:val="right"/>
              <w:rPr>
                <w:rFonts w:ascii="Arial" w:eastAsia="Times New Roman" w:hAnsi="Arial" w:cs="Arial"/>
              </w:rPr>
            </w:pPr>
            <w:r w:rsidRPr="004C703B">
              <w:rPr>
                <w:rFonts w:ascii="Arial" w:eastAsia="Times New Roman" w:hAnsi="Arial" w:cs="Arial"/>
              </w:rPr>
              <w:t>4 943 262</w:t>
            </w:r>
          </w:p>
        </w:tc>
        <w:tc>
          <w:tcPr>
            <w:tcW w:w="2336" w:type="dxa"/>
            <w:shd w:val="clear" w:color="auto" w:fill="auto"/>
          </w:tcPr>
          <w:p w:rsidR="00AB0581" w:rsidRPr="004C703B" w:rsidRDefault="00AB0581" w:rsidP="000808AE">
            <w:pPr>
              <w:spacing w:before="60" w:after="60" w:line="240" w:lineRule="auto"/>
              <w:jc w:val="right"/>
              <w:rPr>
                <w:rFonts w:ascii="Arial" w:eastAsia="Times New Roman" w:hAnsi="Arial" w:cs="Arial"/>
              </w:rPr>
            </w:pPr>
            <w:r w:rsidRPr="004C703B">
              <w:rPr>
                <w:rFonts w:ascii="Arial" w:eastAsia="Times New Roman" w:hAnsi="Arial" w:cs="Arial"/>
              </w:rPr>
              <w:t>5 168 971</w:t>
            </w:r>
          </w:p>
        </w:tc>
      </w:tr>
      <w:tr w:rsidR="00045FC1" w:rsidRPr="00C34C19" w:rsidTr="004C703B">
        <w:tc>
          <w:tcPr>
            <w:tcW w:w="3302" w:type="dxa"/>
            <w:shd w:val="clear" w:color="auto" w:fill="auto"/>
          </w:tcPr>
          <w:p w:rsidR="00045FC1" w:rsidRPr="004C703B" w:rsidRDefault="00045FC1" w:rsidP="00B561C8">
            <w:pPr>
              <w:numPr>
                <w:ilvl w:val="0"/>
                <w:numId w:val="47"/>
              </w:numPr>
              <w:spacing w:before="60" w:after="60" w:line="240" w:lineRule="auto"/>
              <w:ind w:left="459" w:hanging="425"/>
              <w:rPr>
                <w:rFonts w:ascii="Arial" w:eastAsia="Times New Roman" w:hAnsi="Arial" w:cs="Arial"/>
                <w:b/>
              </w:rPr>
            </w:pPr>
            <w:r w:rsidRPr="004C703B">
              <w:rPr>
                <w:rFonts w:ascii="Arial" w:eastAsia="Times New Roman" w:hAnsi="Arial" w:cs="Arial"/>
                <w:b/>
              </w:rPr>
              <w:t>Other subsidies towards staff costs</w:t>
            </w:r>
          </w:p>
        </w:tc>
        <w:tc>
          <w:tcPr>
            <w:tcW w:w="1918" w:type="dxa"/>
            <w:shd w:val="clear" w:color="auto" w:fill="auto"/>
          </w:tcPr>
          <w:p w:rsidR="00045FC1" w:rsidRPr="004C703B" w:rsidRDefault="00045FC1" w:rsidP="000808AE">
            <w:pPr>
              <w:spacing w:before="60" w:after="60" w:line="240" w:lineRule="auto"/>
              <w:jc w:val="right"/>
              <w:rPr>
                <w:rFonts w:ascii="Arial" w:eastAsia="Times New Roman" w:hAnsi="Arial" w:cs="Arial"/>
              </w:rPr>
            </w:pPr>
            <w:r w:rsidRPr="004C703B">
              <w:rPr>
                <w:rFonts w:ascii="Arial" w:eastAsia="Times New Roman" w:hAnsi="Arial" w:cs="Arial"/>
              </w:rPr>
              <w:t>1 796 776</w:t>
            </w:r>
          </w:p>
        </w:tc>
        <w:tc>
          <w:tcPr>
            <w:tcW w:w="4136" w:type="dxa"/>
            <w:gridSpan w:val="2"/>
            <w:shd w:val="clear" w:color="auto" w:fill="auto"/>
          </w:tcPr>
          <w:p w:rsidR="00045FC1" w:rsidRPr="004C703B" w:rsidRDefault="002D2DF9" w:rsidP="000808AE">
            <w:pPr>
              <w:spacing w:before="60" w:after="60" w:line="240" w:lineRule="auto"/>
              <w:rPr>
                <w:rFonts w:ascii="Arial" w:eastAsia="Times New Roman" w:hAnsi="Arial" w:cs="Arial"/>
              </w:rPr>
            </w:pPr>
            <w:r w:rsidRPr="004C703B">
              <w:rPr>
                <w:rFonts w:ascii="Arial" w:eastAsia="Times New Roman" w:hAnsi="Arial" w:cs="Arial"/>
              </w:rPr>
              <w:t xml:space="preserve">Shifted </w:t>
            </w:r>
            <w:r w:rsidR="00B561C8">
              <w:rPr>
                <w:rFonts w:ascii="Arial" w:eastAsia="Times New Roman" w:hAnsi="Arial" w:cs="Arial"/>
              </w:rPr>
              <w:t xml:space="preserve">to compensation of employees </w:t>
            </w:r>
            <w:r w:rsidRPr="004C703B">
              <w:rPr>
                <w:rFonts w:ascii="Arial" w:eastAsia="Times New Roman" w:hAnsi="Arial" w:cs="Arial"/>
              </w:rPr>
              <w:t>d</w:t>
            </w:r>
            <w:r w:rsidR="00B561C8">
              <w:rPr>
                <w:rFonts w:ascii="Arial" w:eastAsia="Times New Roman" w:hAnsi="Arial" w:cs="Arial"/>
              </w:rPr>
              <w:t>ue to migration on 1 April 2015</w:t>
            </w:r>
          </w:p>
        </w:tc>
      </w:tr>
      <w:tr w:rsidR="00AB0581" w:rsidRPr="00C34C19" w:rsidTr="004C703B">
        <w:tc>
          <w:tcPr>
            <w:tcW w:w="3302" w:type="dxa"/>
            <w:shd w:val="clear" w:color="auto" w:fill="auto"/>
          </w:tcPr>
          <w:p w:rsidR="00AB0581" w:rsidRPr="004C703B" w:rsidRDefault="00AB0581" w:rsidP="00B561C8">
            <w:pPr>
              <w:numPr>
                <w:ilvl w:val="0"/>
                <w:numId w:val="47"/>
              </w:numPr>
              <w:spacing w:before="60" w:after="60" w:line="240" w:lineRule="auto"/>
              <w:ind w:left="459" w:hanging="425"/>
              <w:rPr>
                <w:rFonts w:ascii="Arial" w:eastAsia="Times New Roman" w:hAnsi="Arial" w:cs="Arial"/>
                <w:b/>
              </w:rPr>
            </w:pPr>
            <w:r w:rsidRPr="004C703B">
              <w:rPr>
                <w:rFonts w:ascii="Arial" w:eastAsia="Times New Roman" w:hAnsi="Arial" w:cs="Arial"/>
                <w:b/>
              </w:rPr>
              <w:t>Capital Expenditure</w:t>
            </w:r>
          </w:p>
        </w:tc>
        <w:tc>
          <w:tcPr>
            <w:tcW w:w="1918" w:type="dxa"/>
            <w:shd w:val="clear" w:color="auto" w:fill="auto"/>
          </w:tcPr>
          <w:p w:rsidR="00AB0581" w:rsidRPr="004C703B" w:rsidRDefault="00045FC1" w:rsidP="000808AE">
            <w:pPr>
              <w:spacing w:before="60" w:after="60" w:line="240" w:lineRule="auto"/>
              <w:jc w:val="right"/>
              <w:rPr>
                <w:rFonts w:ascii="Arial" w:eastAsia="Times New Roman" w:hAnsi="Arial" w:cs="Arial"/>
              </w:rPr>
            </w:pPr>
            <w:r w:rsidRPr="004C703B">
              <w:rPr>
                <w:rFonts w:ascii="Arial" w:eastAsia="Times New Roman" w:hAnsi="Arial" w:cs="Arial"/>
              </w:rPr>
              <w:t>0</w:t>
            </w:r>
          </w:p>
        </w:tc>
        <w:tc>
          <w:tcPr>
            <w:tcW w:w="1800" w:type="dxa"/>
            <w:shd w:val="clear" w:color="auto" w:fill="auto"/>
          </w:tcPr>
          <w:p w:rsidR="00AB0581" w:rsidRPr="004C703B" w:rsidRDefault="00C174D6" w:rsidP="000808AE">
            <w:pPr>
              <w:spacing w:before="60" w:after="60" w:line="240" w:lineRule="auto"/>
              <w:jc w:val="right"/>
              <w:rPr>
                <w:rFonts w:ascii="Arial" w:eastAsia="Times New Roman" w:hAnsi="Arial" w:cs="Arial"/>
              </w:rPr>
            </w:pPr>
            <w:r w:rsidRPr="004C703B">
              <w:rPr>
                <w:rFonts w:ascii="Arial" w:eastAsia="Times New Roman" w:hAnsi="Arial" w:cs="Arial"/>
              </w:rPr>
              <w:t>0</w:t>
            </w:r>
          </w:p>
        </w:tc>
        <w:tc>
          <w:tcPr>
            <w:tcW w:w="2336" w:type="dxa"/>
            <w:shd w:val="clear" w:color="auto" w:fill="auto"/>
          </w:tcPr>
          <w:p w:rsidR="00AB0581" w:rsidRPr="004C703B" w:rsidRDefault="00C174D6" w:rsidP="000808AE">
            <w:pPr>
              <w:spacing w:before="60" w:after="60" w:line="240" w:lineRule="auto"/>
              <w:jc w:val="right"/>
              <w:rPr>
                <w:rFonts w:ascii="Arial" w:eastAsia="Times New Roman" w:hAnsi="Arial" w:cs="Arial"/>
              </w:rPr>
            </w:pPr>
            <w:r w:rsidRPr="004C703B">
              <w:rPr>
                <w:rFonts w:ascii="Arial" w:eastAsia="Times New Roman" w:hAnsi="Arial" w:cs="Arial"/>
              </w:rPr>
              <w:t>0</w:t>
            </w:r>
          </w:p>
        </w:tc>
      </w:tr>
      <w:tr w:rsidR="00AB0581" w:rsidRPr="00C34C19" w:rsidTr="004C703B">
        <w:tc>
          <w:tcPr>
            <w:tcW w:w="3302" w:type="dxa"/>
            <w:shd w:val="clear" w:color="auto" w:fill="auto"/>
          </w:tcPr>
          <w:p w:rsidR="00AB0581" w:rsidRPr="004C703B" w:rsidRDefault="00AB0581" w:rsidP="00B561C8">
            <w:pPr>
              <w:numPr>
                <w:ilvl w:val="0"/>
                <w:numId w:val="47"/>
              </w:numPr>
              <w:spacing w:before="60" w:after="60" w:line="240" w:lineRule="auto"/>
              <w:ind w:left="459" w:hanging="425"/>
              <w:rPr>
                <w:rFonts w:ascii="Arial" w:eastAsia="Times New Roman" w:hAnsi="Arial" w:cs="Arial"/>
                <w:b/>
              </w:rPr>
            </w:pPr>
            <w:r w:rsidRPr="004C703B">
              <w:rPr>
                <w:rFonts w:ascii="Arial" w:eastAsia="Times New Roman" w:hAnsi="Arial" w:cs="Arial"/>
                <w:b/>
              </w:rPr>
              <w:t>Transfers and Subsidies</w:t>
            </w:r>
          </w:p>
        </w:tc>
        <w:tc>
          <w:tcPr>
            <w:tcW w:w="1918" w:type="dxa"/>
            <w:shd w:val="clear" w:color="auto" w:fill="auto"/>
          </w:tcPr>
          <w:p w:rsidR="00AB0581" w:rsidRPr="004C703B" w:rsidRDefault="00045FC1" w:rsidP="000808AE">
            <w:pPr>
              <w:spacing w:before="60" w:after="60" w:line="240" w:lineRule="auto"/>
              <w:jc w:val="right"/>
              <w:rPr>
                <w:rFonts w:ascii="Arial" w:eastAsia="Times New Roman" w:hAnsi="Arial" w:cs="Arial"/>
              </w:rPr>
            </w:pPr>
            <w:r w:rsidRPr="004C703B">
              <w:rPr>
                <w:rFonts w:ascii="Arial" w:eastAsia="Times New Roman" w:hAnsi="Arial" w:cs="Arial"/>
              </w:rPr>
              <w:t>1 399 051</w:t>
            </w:r>
          </w:p>
        </w:tc>
        <w:tc>
          <w:tcPr>
            <w:tcW w:w="1800" w:type="dxa"/>
            <w:shd w:val="clear" w:color="auto" w:fill="auto"/>
          </w:tcPr>
          <w:p w:rsidR="00AB0581" w:rsidRPr="004C703B" w:rsidRDefault="00AB0581" w:rsidP="000808AE">
            <w:pPr>
              <w:spacing w:before="60" w:after="60" w:line="240" w:lineRule="auto"/>
              <w:jc w:val="right"/>
              <w:rPr>
                <w:rFonts w:ascii="Arial" w:eastAsia="Times New Roman" w:hAnsi="Arial" w:cs="Arial"/>
              </w:rPr>
            </w:pPr>
            <w:r w:rsidRPr="004C703B">
              <w:rPr>
                <w:rFonts w:ascii="Arial" w:eastAsia="Times New Roman" w:hAnsi="Arial" w:cs="Arial"/>
              </w:rPr>
              <w:t>1 140 945</w:t>
            </w:r>
          </w:p>
        </w:tc>
        <w:tc>
          <w:tcPr>
            <w:tcW w:w="2336" w:type="dxa"/>
            <w:shd w:val="clear" w:color="auto" w:fill="auto"/>
          </w:tcPr>
          <w:p w:rsidR="00AB0581" w:rsidRPr="004C703B" w:rsidRDefault="004C429A" w:rsidP="000808AE">
            <w:pPr>
              <w:spacing w:before="60" w:after="60" w:line="240" w:lineRule="auto"/>
              <w:jc w:val="right"/>
              <w:rPr>
                <w:rFonts w:ascii="Arial" w:eastAsia="Times New Roman" w:hAnsi="Arial" w:cs="Arial"/>
              </w:rPr>
            </w:pPr>
            <w:r w:rsidRPr="004C703B">
              <w:rPr>
                <w:rFonts w:ascii="Arial" w:eastAsia="Times New Roman" w:hAnsi="Arial" w:cs="Arial"/>
              </w:rPr>
              <w:t>1 274 848</w:t>
            </w:r>
          </w:p>
        </w:tc>
      </w:tr>
      <w:tr w:rsidR="00AB0581" w:rsidRPr="00C34C19" w:rsidTr="00B561C8">
        <w:tc>
          <w:tcPr>
            <w:tcW w:w="3302" w:type="dxa"/>
            <w:shd w:val="clear" w:color="auto" w:fill="auto"/>
            <w:vAlign w:val="center"/>
          </w:tcPr>
          <w:p w:rsidR="00AB0581" w:rsidRPr="004C703B" w:rsidRDefault="00AB0581" w:rsidP="00B561C8">
            <w:pPr>
              <w:spacing w:before="60" w:after="60" w:line="240" w:lineRule="auto"/>
              <w:jc w:val="center"/>
              <w:rPr>
                <w:rFonts w:ascii="Arial" w:eastAsia="Times New Roman" w:hAnsi="Arial" w:cs="Arial"/>
                <w:b/>
              </w:rPr>
            </w:pPr>
            <w:r w:rsidRPr="004C703B">
              <w:rPr>
                <w:rFonts w:ascii="Arial" w:eastAsia="Times New Roman" w:hAnsi="Arial" w:cs="Arial"/>
                <w:b/>
              </w:rPr>
              <w:t>Total Budget Allocation</w:t>
            </w:r>
          </w:p>
        </w:tc>
        <w:tc>
          <w:tcPr>
            <w:tcW w:w="1918" w:type="dxa"/>
            <w:shd w:val="clear" w:color="auto" w:fill="auto"/>
          </w:tcPr>
          <w:p w:rsidR="00AB0581" w:rsidRPr="004C703B" w:rsidRDefault="00045FC1" w:rsidP="000808AE">
            <w:pPr>
              <w:spacing w:before="60" w:after="60" w:line="240" w:lineRule="auto"/>
              <w:jc w:val="right"/>
              <w:rPr>
                <w:rFonts w:ascii="Arial" w:eastAsia="Times New Roman" w:hAnsi="Arial" w:cs="Arial"/>
                <w:b/>
              </w:rPr>
            </w:pPr>
            <w:r w:rsidRPr="004C703B">
              <w:rPr>
                <w:rFonts w:ascii="Arial" w:eastAsia="Times New Roman" w:hAnsi="Arial" w:cs="Arial"/>
                <w:b/>
              </w:rPr>
              <w:t>5 736 332</w:t>
            </w:r>
          </w:p>
        </w:tc>
        <w:tc>
          <w:tcPr>
            <w:tcW w:w="1800" w:type="dxa"/>
            <w:shd w:val="clear" w:color="auto" w:fill="auto"/>
          </w:tcPr>
          <w:p w:rsidR="00AB0581" w:rsidRPr="004C703B" w:rsidRDefault="00C174D6" w:rsidP="000808AE">
            <w:pPr>
              <w:spacing w:before="60" w:after="60" w:line="240" w:lineRule="auto"/>
              <w:jc w:val="right"/>
              <w:rPr>
                <w:rFonts w:ascii="Arial" w:eastAsia="Times New Roman" w:hAnsi="Arial" w:cs="Arial"/>
                <w:b/>
              </w:rPr>
            </w:pPr>
            <w:r w:rsidRPr="004C703B">
              <w:rPr>
                <w:rFonts w:ascii="Arial" w:eastAsia="Times New Roman" w:hAnsi="Arial" w:cs="Arial"/>
                <w:b/>
              </w:rPr>
              <w:t>6 179 574</w:t>
            </w:r>
          </w:p>
        </w:tc>
        <w:tc>
          <w:tcPr>
            <w:tcW w:w="2336" w:type="dxa"/>
            <w:shd w:val="clear" w:color="auto" w:fill="auto"/>
          </w:tcPr>
          <w:p w:rsidR="00AB0581" w:rsidRPr="004C703B" w:rsidRDefault="00AB0581" w:rsidP="000808AE">
            <w:pPr>
              <w:spacing w:before="60" w:after="60" w:line="240" w:lineRule="auto"/>
              <w:jc w:val="right"/>
              <w:rPr>
                <w:rFonts w:ascii="Arial" w:eastAsia="Times New Roman" w:hAnsi="Arial" w:cs="Arial"/>
                <w:b/>
              </w:rPr>
            </w:pPr>
            <w:r w:rsidRPr="004C703B">
              <w:rPr>
                <w:rFonts w:ascii="Arial" w:eastAsia="Times New Roman" w:hAnsi="Arial" w:cs="Arial"/>
                <w:b/>
              </w:rPr>
              <w:t>6 443 819</w:t>
            </w:r>
          </w:p>
        </w:tc>
      </w:tr>
    </w:tbl>
    <w:p w:rsidR="00D151E0" w:rsidRDefault="00D151E0" w:rsidP="004C703B">
      <w:pPr>
        <w:spacing w:before="100" w:beforeAutospacing="1" w:after="100" w:afterAutospacing="1" w:line="360" w:lineRule="auto"/>
        <w:ind w:left="426"/>
        <w:jc w:val="both"/>
        <w:outlineLvl w:val="0"/>
        <w:rPr>
          <w:rFonts w:ascii="Arial" w:hAnsi="Arial" w:cs="Arial"/>
        </w:rPr>
      </w:pPr>
    </w:p>
    <w:p w:rsidR="00D151E0" w:rsidRDefault="00D151E0" w:rsidP="004C703B">
      <w:pPr>
        <w:spacing w:before="100" w:beforeAutospacing="1" w:after="100" w:afterAutospacing="1" w:line="360" w:lineRule="auto"/>
        <w:ind w:left="426"/>
        <w:jc w:val="both"/>
        <w:outlineLvl w:val="0"/>
        <w:rPr>
          <w:rFonts w:ascii="Arial" w:hAnsi="Arial" w:cs="Arial"/>
        </w:rPr>
      </w:pPr>
    </w:p>
    <w:p w:rsidR="00D151E0" w:rsidRDefault="00D151E0" w:rsidP="004C703B">
      <w:pPr>
        <w:spacing w:before="100" w:beforeAutospacing="1" w:after="100" w:afterAutospacing="1" w:line="360" w:lineRule="auto"/>
        <w:ind w:left="426"/>
        <w:jc w:val="both"/>
        <w:outlineLvl w:val="0"/>
        <w:rPr>
          <w:rFonts w:ascii="Arial" w:hAnsi="Arial" w:cs="Arial"/>
        </w:rPr>
      </w:pPr>
    </w:p>
    <w:p w:rsidR="00D151E0" w:rsidRDefault="00D151E0" w:rsidP="004C703B">
      <w:pPr>
        <w:spacing w:before="100" w:beforeAutospacing="1" w:after="100" w:afterAutospacing="1" w:line="360" w:lineRule="auto"/>
        <w:ind w:left="426"/>
        <w:jc w:val="both"/>
        <w:outlineLvl w:val="0"/>
        <w:rPr>
          <w:rFonts w:ascii="Arial" w:hAnsi="Arial" w:cs="Arial"/>
        </w:rPr>
      </w:pPr>
    </w:p>
    <w:p w:rsidR="00F028EF" w:rsidRPr="00C34C19" w:rsidRDefault="000F3379" w:rsidP="004C703B">
      <w:pPr>
        <w:spacing w:before="100" w:beforeAutospacing="1" w:after="100" w:afterAutospacing="1" w:line="360" w:lineRule="auto"/>
        <w:ind w:left="426"/>
        <w:jc w:val="both"/>
        <w:outlineLvl w:val="0"/>
        <w:rPr>
          <w:rFonts w:ascii="Arial" w:hAnsi="Arial" w:cs="Arial"/>
        </w:rPr>
      </w:pPr>
      <w:r w:rsidRPr="00C34C19">
        <w:rPr>
          <w:rFonts w:ascii="Arial" w:hAnsi="Arial" w:cs="Arial"/>
        </w:rPr>
        <w:lastRenderedPageBreak/>
        <w:t xml:space="preserve">The total </w:t>
      </w:r>
      <w:r w:rsidR="006E76DF" w:rsidRPr="00C34C19">
        <w:rPr>
          <w:rFonts w:ascii="Arial" w:hAnsi="Arial" w:cs="Arial"/>
        </w:rPr>
        <w:t xml:space="preserve">fiscus funded budget </w:t>
      </w:r>
      <w:r w:rsidRPr="00C34C19">
        <w:rPr>
          <w:rFonts w:ascii="Arial" w:hAnsi="Arial" w:cs="Arial"/>
        </w:rPr>
        <w:t xml:space="preserve">for </w:t>
      </w:r>
      <w:r w:rsidR="004C703B">
        <w:rPr>
          <w:rFonts w:ascii="Arial" w:hAnsi="Arial" w:cs="Arial"/>
        </w:rPr>
        <w:t>Technical and Vocational Education and Training (</w:t>
      </w:r>
      <w:r w:rsidRPr="00C34C19">
        <w:rPr>
          <w:rFonts w:ascii="Arial" w:hAnsi="Arial" w:cs="Arial"/>
        </w:rPr>
        <w:t>TVET</w:t>
      </w:r>
      <w:r w:rsidR="004C703B">
        <w:rPr>
          <w:rFonts w:ascii="Arial" w:hAnsi="Arial" w:cs="Arial"/>
        </w:rPr>
        <w:t>)</w:t>
      </w:r>
      <w:r w:rsidR="00B561C8">
        <w:rPr>
          <w:rFonts w:ascii="Arial" w:hAnsi="Arial" w:cs="Arial"/>
        </w:rPr>
        <w:t xml:space="preserve"> c</w:t>
      </w:r>
      <w:r w:rsidRPr="00C34C19">
        <w:rPr>
          <w:rFonts w:ascii="Arial" w:hAnsi="Arial" w:cs="Arial"/>
        </w:rPr>
        <w:t xml:space="preserve">olleges for 2014/15 </w:t>
      </w:r>
      <w:r w:rsidRPr="004C703B">
        <w:rPr>
          <w:rFonts w:ascii="Arial" w:hAnsi="Arial" w:cs="Arial"/>
        </w:rPr>
        <w:t>was R5.7 billion increasing to</w:t>
      </w:r>
      <w:r w:rsidR="008F0123" w:rsidRPr="004C703B">
        <w:rPr>
          <w:rFonts w:ascii="Arial" w:hAnsi="Arial" w:cs="Arial"/>
        </w:rPr>
        <w:t xml:space="preserve"> </w:t>
      </w:r>
      <w:r w:rsidRPr="004C703B">
        <w:rPr>
          <w:rFonts w:ascii="Arial" w:hAnsi="Arial" w:cs="Arial"/>
        </w:rPr>
        <w:t>R6.4 billion</w:t>
      </w:r>
      <w:r w:rsidRPr="00C34C19">
        <w:rPr>
          <w:rFonts w:ascii="Arial" w:hAnsi="Arial" w:cs="Arial"/>
          <w:b/>
        </w:rPr>
        <w:t xml:space="preserve"> </w:t>
      </w:r>
      <w:r w:rsidRPr="00C34C19">
        <w:rPr>
          <w:rFonts w:ascii="Arial" w:hAnsi="Arial" w:cs="Arial"/>
        </w:rPr>
        <w:t>in 2016/17. The budget caters for the salary costs and operation</w:t>
      </w:r>
      <w:r w:rsidR="006E76DF" w:rsidRPr="00C34C19">
        <w:rPr>
          <w:rFonts w:ascii="Arial" w:hAnsi="Arial" w:cs="Arial"/>
        </w:rPr>
        <w:t>al costs relating to the TVET Colleges. Based on the National Norms and Standards for funding TVET Colleges (NNSF-TVET), t</w:t>
      </w:r>
      <w:r w:rsidR="00B561C8">
        <w:rPr>
          <w:rFonts w:ascii="Arial" w:hAnsi="Arial" w:cs="Arial"/>
        </w:rPr>
        <w:t>he budgets should be applied to</w:t>
      </w:r>
      <w:r w:rsidR="006E76DF" w:rsidRPr="00C34C19">
        <w:rPr>
          <w:rFonts w:ascii="Arial" w:hAnsi="Arial" w:cs="Arial"/>
        </w:rPr>
        <w:t xml:space="preserve"> the following economic categories: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9"/>
        <w:gridCol w:w="2211"/>
      </w:tblGrid>
      <w:tr w:rsidR="008F0123" w:rsidRPr="00C34C19" w:rsidTr="00B561C8">
        <w:tblPrEx>
          <w:tblCellMar>
            <w:top w:w="0" w:type="dxa"/>
            <w:bottom w:w="0" w:type="dxa"/>
          </w:tblCellMar>
        </w:tblPrEx>
        <w:trPr>
          <w:trHeight w:val="225"/>
        </w:trPr>
        <w:tc>
          <w:tcPr>
            <w:tcW w:w="4809" w:type="dxa"/>
            <w:vAlign w:val="center"/>
          </w:tcPr>
          <w:p w:rsidR="008F0123" w:rsidRPr="004C703B" w:rsidRDefault="00D151E0" w:rsidP="00B561C8">
            <w:pPr>
              <w:spacing w:before="60" w:after="60" w:line="240" w:lineRule="auto"/>
              <w:jc w:val="center"/>
              <w:rPr>
                <w:rFonts w:ascii="Arial" w:eastAsia="Times New Roman" w:hAnsi="Arial" w:cs="Arial"/>
                <w:b/>
              </w:rPr>
            </w:pPr>
            <w:r w:rsidRPr="004C703B">
              <w:rPr>
                <w:rFonts w:ascii="Arial" w:eastAsia="Times New Roman" w:hAnsi="Arial" w:cs="Arial"/>
                <w:b/>
              </w:rPr>
              <w:t>Category</w:t>
            </w:r>
          </w:p>
        </w:tc>
        <w:tc>
          <w:tcPr>
            <w:tcW w:w="2211" w:type="dxa"/>
            <w:vAlign w:val="center"/>
          </w:tcPr>
          <w:p w:rsidR="008F0123" w:rsidRPr="004C703B" w:rsidRDefault="00D151E0" w:rsidP="00B561C8">
            <w:pPr>
              <w:spacing w:before="60" w:after="60" w:line="240" w:lineRule="auto"/>
              <w:jc w:val="center"/>
              <w:rPr>
                <w:rFonts w:ascii="Arial" w:eastAsia="Times New Roman" w:hAnsi="Arial" w:cs="Arial"/>
                <w:b/>
              </w:rPr>
            </w:pPr>
            <w:r w:rsidRPr="004C703B">
              <w:rPr>
                <w:rFonts w:ascii="Arial" w:eastAsia="Times New Roman" w:hAnsi="Arial" w:cs="Arial"/>
                <w:b/>
              </w:rPr>
              <w:t>Percentage</w:t>
            </w:r>
          </w:p>
        </w:tc>
      </w:tr>
      <w:tr w:rsidR="00A4340E" w:rsidRPr="00C34C19" w:rsidTr="00B561C8">
        <w:tblPrEx>
          <w:tblCellMar>
            <w:top w:w="0" w:type="dxa"/>
            <w:bottom w:w="0" w:type="dxa"/>
          </w:tblCellMar>
          <w:tblLook w:val="04A0"/>
        </w:tblPrEx>
        <w:tc>
          <w:tcPr>
            <w:tcW w:w="4809" w:type="dxa"/>
            <w:shd w:val="clear" w:color="auto" w:fill="auto"/>
          </w:tcPr>
          <w:p w:rsidR="006E76DF" w:rsidRPr="004C703B" w:rsidRDefault="006E76DF" w:rsidP="004C703B">
            <w:pPr>
              <w:spacing w:before="60" w:after="60" w:line="240" w:lineRule="auto"/>
              <w:rPr>
                <w:rFonts w:ascii="Arial" w:eastAsia="Times New Roman" w:hAnsi="Arial" w:cs="Arial"/>
              </w:rPr>
            </w:pPr>
            <w:r w:rsidRPr="004C703B">
              <w:rPr>
                <w:rFonts w:ascii="Arial" w:eastAsia="Times New Roman" w:hAnsi="Arial" w:cs="Arial"/>
              </w:rPr>
              <w:t>Compensation of employees</w:t>
            </w:r>
          </w:p>
        </w:tc>
        <w:tc>
          <w:tcPr>
            <w:tcW w:w="2211" w:type="dxa"/>
            <w:shd w:val="clear" w:color="auto" w:fill="auto"/>
            <w:vAlign w:val="center"/>
          </w:tcPr>
          <w:p w:rsidR="006E76DF" w:rsidRPr="004C703B" w:rsidRDefault="006E76DF" w:rsidP="00B561C8">
            <w:pPr>
              <w:spacing w:before="60" w:after="60" w:line="240" w:lineRule="auto"/>
              <w:jc w:val="center"/>
              <w:rPr>
                <w:rFonts w:ascii="Arial" w:eastAsia="Times New Roman" w:hAnsi="Arial" w:cs="Arial"/>
              </w:rPr>
            </w:pPr>
            <w:r w:rsidRPr="004C703B">
              <w:rPr>
                <w:rFonts w:ascii="Arial" w:eastAsia="Times New Roman" w:hAnsi="Arial" w:cs="Arial"/>
              </w:rPr>
              <w:t>63%</w:t>
            </w:r>
          </w:p>
        </w:tc>
      </w:tr>
      <w:tr w:rsidR="00A4340E" w:rsidRPr="00C34C19" w:rsidTr="00B561C8">
        <w:tblPrEx>
          <w:tblCellMar>
            <w:top w:w="0" w:type="dxa"/>
            <w:bottom w:w="0" w:type="dxa"/>
          </w:tblCellMar>
          <w:tblLook w:val="04A0"/>
        </w:tblPrEx>
        <w:tc>
          <w:tcPr>
            <w:tcW w:w="4809" w:type="dxa"/>
            <w:shd w:val="clear" w:color="auto" w:fill="auto"/>
          </w:tcPr>
          <w:p w:rsidR="006E76DF" w:rsidRPr="004C703B" w:rsidRDefault="006E76DF" w:rsidP="00D151E0">
            <w:pPr>
              <w:spacing w:before="60" w:after="60" w:line="240" w:lineRule="auto"/>
              <w:rPr>
                <w:rFonts w:ascii="Arial" w:eastAsia="Times New Roman" w:hAnsi="Arial" w:cs="Arial"/>
              </w:rPr>
            </w:pPr>
            <w:r w:rsidRPr="004C703B">
              <w:rPr>
                <w:rFonts w:ascii="Arial" w:eastAsia="Times New Roman" w:hAnsi="Arial" w:cs="Arial"/>
              </w:rPr>
              <w:t xml:space="preserve">Non-personnel Non-Capital </w:t>
            </w:r>
          </w:p>
        </w:tc>
        <w:tc>
          <w:tcPr>
            <w:tcW w:w="2211" w:type="dxa"/>
            <w:shd w:val="clear" w:color="auto" w:fill="auto"/>
            <w:vAlign w:val="center"/>
          </w:tcPr>
          <w:p w:rsidR="006E76DF" w:rsidRPr="004C703B" w:rsidRDefault="006E76DF" w:rsidP="00B561C8">
            <w:pPr>
              <w:spacing w:before="60" w:after="60" w:line="240" w:lineRule="auto"/>
              <w:jc w:val="center"/>
              <w:rPr>
                <w:rFonts w:ascii="Arial" w:eastAsia="Times New Roman" w:hAnsi="Arial" w:cs="Arial"/>
              </w:rPr>
            </w:pPr>
            <w:r w:rsidRPr="004C703B">
              <w:rPr>
                <w:rFonts w:ascii="Arial" w:eastAsia="Times New Roman" w:hAnsi="Arial" w:cs="Arial"/>
              </w:rPr>
              <w:t>27%</w:t>
            </w:r>
          </w:p>
        </w:tc>
      </w:tr>
      <w:tr w:rsidR="00A4340E" w:rsidRPr="00C34C19" w:rsidTr="00B561C8">
        <w:tblPrEx>
          <w:tblCellMar>
            <w:top w:w="0" w:type="dxa"/>
            <w:bottom w:w="0" w:type="dxa"/>
          </w:tblCellMar>
          <w:tblLook w:val="04A0"/>
        </w:tblPrEx>
        <w:tc>
          <w:tcPr>
            <w:tcW w:w="4809" w:type="dxa"/>
            <w:shd w:val="clear" w:color="auto" w:fill="auto"/>
          </w:tcPr>
          <w:p w:rsidR="006E76DF" w:rsidRPr="004C703B" w:rsidRDefault="006E76DF" w:rsidP="004C703B">
            <w:pPr>
              <w:spacing w:before="60" w:after="60" w:line="240" w:lineRule="auto"/>
              <w:rPr>
                <w:rFonts w:ascii="Arial" w:eastAsia="Times New Roman" w:hAnsi="Arial" w:cs="Arial"/>
              </w:rPr>
            </w:pPr>
            <w:r w:rsidRPr="004C703B">
              <w:rPr>
                <w:rFonts w:ascii="Arial" w:eastAsia="Times New Roman" w:hAnsi="Arial" w:cs="Arial"/>
              </w:rPr>
              <w:t>Capital infrastructure maintenance (repairs and maintenance)</w:t>
            </w:r>
          </w:p>
        </w:tc>
        <w:tc>
          <w:tcPr>
            <w:tcW w:w="2211" w:type="dxa"/>
            <w:shd w:val="clear" w:color="auto" w:fill="auto"/>
            <w:vAlign w:val="center"/>
          </w:tcPr>
          <w:p w:rsidR="006E76DF" w:rsidRPr="004C703B" w:rsidRDefault="006E76DF" w:rsidP="00B561C8">
            <w:pPr>
              <w:spacing w:before="60" w:after="60" w:line="240" w:lineRule="auto"/>
              <w:jc w:val="center"/>
              <w:rPr>
                <w:rFonts w:ascii="Arial" w:eastAsia="Times New Roman" w:hAnsi="Arial" w:cs="Arial"/>
              </w:rPr>
            </w:pPr>
            <w:r w:rsidRPr="004C703B">
              <w:rPr>
                <w:rFonts w:ascii="Arial" w:eastAsia="Times New Roman" w:hAnsi="Arial" w:cs="Arial"/>
              </w:rPr>
              <w:t>10%</w:t>
            </w:r>
          </w:p>
        </w:tc>
      </w:tr>
      <w:tr w:rsidR="003D6215" w:rsidRPr="00C34C19" w:rsidTr="00B561C8">
        <w:tblPrEx>
          <w:tblCellMar>
            <w:top w:w="0" w:type="dxa"/>
            <w:bottom w:w="0" w:type="dxa"/>
          </w:tblCellMar>
          <w:tblLook w:val="04A0"/>
        </w:tblPrEx>
        <w:tc>
          <w:tcPr>
            <w:tcW w:w="4809" w:type="dxa"/>
            <w:shd w:val="clear" w:color="auto" w:fill="auto"/>
            <w:vAlign w:val="center"/>
          </w:tcPr>
          <w:p w:rsidR="003D6215" w:rsidRPr="004C703B" w:rsidRDefault="003D6215" w:rsidP="00B561C8">
            <w:pPr>
              <w:spacing w:before="60" w:after="60" w:line="240" w:lineRule="auto"/>
              <w:jc w:val="center"/>
              <w:rPr>
                <w:rFonts w:ascii="Arial" w:eastAsia="Times New Roman" w:hAnsi="Arial" w:cs="Arial"/>
                <w:b/>
              </w:rPr>
            </w:pPr>
            <w:r w:rsidRPr="004C703B">
              <w:rPr>
                <w:rFonts w:ascii="Arial" w:eastAsia="Times New Roman" w:hAnsi="Arial" w:cs="Arial"/>
                <w:b/>
              </w:rPr>
              <w:t>Total</w:t>
            </w:r>
          </w:p>
        </w:tc>
        <w:tc>
          <w:tcPr>
            <w:tcW w:w="2211" w:type="dxa"/>
            <w:shd w:val="clear" w:color="auto" w:fill="auto"/>
            <w:vAlign w:val="center"/>
          </w:tcPr>
          <w:p w:rsidR="003D6215" w:rsidRPr="004C703B" w:rsidRDefault="003D6215" w:rsidP="00B561C8">
            <w:pPr>
              <w:spacing w:before="60" w:after="60" w:line="240" w:lineRule="auto"/>
              <w:jc w:val="center"/>
              <w:rPr>
                <w:rFonts w:ascii="Arial" w:eastAsia="Times New Roman" w:hAnsi="Arial" w:cs="Arial"/>
                <w:b/>
              </w:rPr>
            </w:pPr>
            <w:r w:rsidRPr="004C703B">
              <w:rPr>
                <w:rFonts w:ascii="Arial" w:eastAsia="Times New Roman" w:hAnsi="Arial" w:cs="Arial"/>
                <w:b/>
              </w:rPr>
              <w:t>100%</w:t>
            </w:r>
          </w:p>
        </w:tc>
      </w:tr>
    </w:tbl>
    <w:p w:rsidR="00B561C8" w:rsidRDefault="00B561C8" w:rsidP="00B561C8">
      <w:pPr>
        <w:spacing w:line="360" w:lineRule="auto"/>
        <w:ind w:firstLine="426"/>
        <w:jc w:val="both"/>
        <w:outlineLvl w:val="0"/>
        <w:rPr>
          <w:rFonts w:ascii="Arial" w:hAnsi="Arial" w:cs="Arial"/>
          <w:b/>
        </w:rPr>
      </w:pPr>
    </w:p>
    <w:p w:rsidR="000F3379" w:rsidRPr="00C34C19" w:rsidRDefault="00D151E0" w:rsidP="00B561C8">
      <w:pPr>
        <w:spacing w:after="0" w:line="360" w:lineRule="auto"/>
        <w:ind w:firstLine="425"/>
        <w:jc w:val="both"/>
        <w:outlineLvl w:val="0"/>
        <w:rPr>
          <w:rFonts w:ascii="Arial" w:hAnsi="Arial" w:cs="Arial"/>
          <w:b/>
        </w:rPr>
      </w:pPr>
      <w:r>
        <w:rPr>
          <w:rFonts w:ascii="Arial" w:hAnsi="Arial" w:cs="Arial"/>
          <w:b/>
        </w:rPr>
        <w:t>Compensation o</w:t>
      </w:r>
      <w:r w:rsidRPr="00C34C19">
        <w:rPr>
          <w:rFonts w:ascii="Arial" w:hAnsi="Arial" w:cs="Arial"/>
          <w:b/>
        </w:rPr>
        <w:t>f Employees:</w:t>
      </w:r>
    </w:p>
    <w:p w:rsidR="000F3379" w:rsidRPr="00C34C19" w:rsidRDefault="000F3379" w:rsidP="00B561C8">
      <w:pPr>
        <w:spacing w:line="360" w:lineRule="auto"/>
        <w:ind w:left="426"/>
        <w:jc w:val="both"/>
        <w:outlineLvl w:val="0"/>
        <w:rPr>
          <w:rFonts w:ascii="Arial" w:hAnsi="Arial" w:cs="Arial"/>
        </w:rPr>
      </w:pPr>
      <w:r w:rsidRPr="00C34C19">
        <w:rPr>
          <w:rFonts w:ascii="Arial" w:hAnsi="Arial" w:cs="Arial"/>
        </w:rPr>
        <w:t>In 2014/15, subsidi</w:t>
      </w:r>
      <w:r w:rsidR="000554C7" w:rsidRPr="00C34C19">
        <w:rPr>
          <w:rFonts w:ascii="Arial" w:hAnsi="Arial" w:cs="Arial"/>
        </w:rPr>
        <w:t xml:space="preserve">es towards staff costs were </w:t>
      </w:r>
      <w:r w:rsidR="00B561C8">
        <w:rPr>
          <w:rFonts w:ascii="Arial" w:hAnsi="Arial" w:cs="Arial"/>
        </w:rPr>
        <w:t xml:space="preserve">made to TVET </w:t>
      </w:r>
      <w:r w:rsidR="007B3617">
        <w:rPr>
          <w:rFonts w:ascii="Arial" w:hAnsi="Arial" w:cs="Arial"/>
        </w:rPr>
        <w:t>co</w:t>
      </w:r>
      <w:r w:rsidR="007B3617" w:rsidRPr="00C34C19">
        <w:rPr>
          <w:rFonts w:ascii="Arial" w:hAnsi="Arial" w:cs="Arial"/>
        </w:rPr>
        <w:t>lleges</w:t>
      </w:r>
      <w:r w:rsidRPr="00C34C19">
        <w:rPr>
          <w:rFonts w:ascii="Arial" w:hAnsi="Arial" w:cs="Arial"/>
        </w:rPr>
        <w:t xml:space="preserve"> for salary costs of employees who </w:t>
      </w:r>
      <w:r w:rsidR="00B561C8">
        <w:rPr>
          <w:rFonts w:ascii="Arial" w:hAnsi="Arial" w:cs="Arial"/>
        </w:rPr>
        <w:t>were appointed and paid by the College C</w:t>
      </w:r>
      <w:r w:rsidRPr="00C34C19">
        <w:rPr>
          <w:rFonts w:ascii="Arial" w:hAnsi="Arial" w:cs="Arial"/>
        </w:rPr>
        <w:t>ouncil</w:t>
      </w:r>
      <w:r w:rsidR="00B561C8">
        <w:rPr>
          <w:rFonts w:ascii="Arial" w:hAnsi="Arial" w:cs="Arial"/>
        </w:rPr>
        <w:t xml:space="preserve"> as a </w:t>
      </w:r>
      <w:r w:rsidR="000554C7" w:rsidRPr="00C34C19">
        <w:rPr>
          <w:rFonts w:ascii="Arial" w:hAnsi="Arial" w:cs="Arial"/>
        </w:rPr>
        <w:t>Conditional Grant via the P</w:t>
      </w:r>
      <w:r w:rsidR="00B561C8">
        <w:rPr>
          <w:rFonts w:ascii="Arial" w:hAnsi="Arial" w:cs="Arial"/>
        </w:rPr>
        <w:t>rovincial Education Departments</w:t>
      </w:r>
      <w:r w:rsidR="000554C7" w:rsidRPr="00C34C19">
        <w:rPr>
          <w:rFonts w:ascii="Arial" w:hAnsi="Arial" w:cs="Arial"/>
        </w:rPr>
        <w:t xml:space="preserve">. These </w:t>
      </w:r>
      <w:r w:rsidRPr="00C34C19">
        <w:rPr>
          <w:rFonts w:ascii="Arial" w:hAnsi="Arial" w:cs="Arial"/>
        </w:rPr>
        <w:t xml:space="preserve">employees were offering Ministerial approved programmes.  </w:t>
      </w:r>
      <w:r w:rsidR="000554C7" w:rsidRPr="00C34C19">
        <w:rPr>
          <w:rFonts w:ascii="Arial" w:hAnsi="Arial" w:cs="Arial"/>
        </w:rPr>
        <w:t>From 1 April 2015</w:t>
      </w:r>
      <w:r w:rsidR="00B561C8">
        <w:rPr>
          <w:rFonts w:ascii="Arial" w:hAnsi="Arial" w:cs="Arial"/>
        </w:rPr>
        <w:t>,</w:t>
      </w:r>
      <w:r w:rsidR="000554C7" w:rsidRPr="00C34C19">
        <w:rPr>
          <w:rFonts w:ascii="Arial" w:hAnsi="Arial" w:cs="Arial"/>
        </w:rPr>
        <w:t xml:space="preserve"> these employees were migrated to the Department as part of the function shift </w:t>
      </w:r>
      <w:r w:rsidR="00B561C8">
        <w:rPr>
          <w:rFonts w:ascii="Arial" w:hAnsi="Arial" w:cs="Arial"/>
        </w:rPr>
        <w:t>processes and</w:t>
      </w:r>
      <w:r w:rsidR="00097507" w:rsidRPr="00C34C19">
        <w:rPr>
          <w:rFonts w:ascii="Arial" w:hAnsi="Arial" w:cs="Arial"/>
        </w:rPr>
        <w:t xml:space="preserve"> t</w:t>
      </w:r>
      <w:r w:rsidR="00B561C8">
        <w:rPr>
          <w:rFonts w:ascii="Arial" w:hAnsi="Arial" w:cs="Arial"/>
        </w:rPr>
        <w:t>he Provincial Conditional Grant was discontinued.</w:t>
      </w:r>
    </w:p>
    <w:p w:rsidR="000F3379" w:rsidRPr="00C34C19" w:rsidRDefault="00D151E0" w:rsidP="00B561C8">
      <w:pPr>
        <w:spacing w:after="0" w:line="360" w:lineRule="auto"/>
        <w:ind w:left="425"/>
        <w:jc w:val="both"/>
        <w:outlineLvl w:val="0"/>
        <w:rPr>
          <w:rFonts w:ascii="Arial" w:hAnsi="Arial" w:cs="Arial"/>
          <w:b/>
        </w:rPr>
      </w:pPr>
      <w:r w:rsidRPr="00C34C19">
        <w:rPr>
          <w:rFonts w:ascii="Arial" w:hAnsi="Arial" w:cs="Arial"/>
          <w:b/>
        </w:rPr>
        <w:t>Capital Expenditure:</w:t>
      </w:r>
    </w:p>
    <w:p w:rsidR="000F3379" w:rsidRPr="00C34C19" w:rsidRDefault="00097507" w:rsidP="00B561C8">
      <w:pPr>
        <w:spacing w:line="360" w:lineRule="auto"/>
        <w:ind w:left="426"/>
        <w:jc w:val="both"/>
        <w:outlineLvl w:val="0"/>
        <w:rPr>
          <w:rFonts w:ascii="Arial" w:hAnsi="Arial" w:cs="Arial"/>
        </w:rPr>
      </w:pPr>
      <w:r w:rsidRPr="00C34C19">
        <w:rPr>
          <w:rFonts w:ascii="Arial" w:hAnsi="Arial" w:cs="Arial"/>
        </w:rPr>
        <w:t>Since</w:t>
      </w:r>
      <w:r w:rsidR="005D075B" w:rsidRPr="00C34C19">
        <w:rPr>
          <w:rFonts w:ascii="Arial" w:hAnsi="Arial" w:cs="Arial"/>
        </w:rPr>
        <w:t xml:space="preserve"> the last</w:t>
      </w:r>
      <w:r w:rsidRPr="00C34C19">
        <w:rPr>
          <w:rFonts w:ascii="Arial" w:hAnsi="Arial" w:cs="Arial"/>
        </w:rPr>
        <w:t xml:space="preserve"> recapitalisation</w:t>
      </w:r>
      <w:r w:rsidR="005D075B" w:rsidRPr="00C34C19">
        <w:rPr>
          <w:rFonts w:ascii="Arial" w:hAnsi="Arial" w:cs="Arial"/>
        </w:rPr>
        <w:t xml:space="preserve"> of TVET Colleges </w:t>
      </w:r>
      <w:r w:rsidRPr="00C34C19">
        <w:rPr>
          <w:rFonts w:ascii="Arial" w:hAnsi="Arial" w:cs="Arial"/>
        </w:rPr>
        <w:t>in 2009, no</w:t>
      </w:r>
      <w:r w:rsidR="005D075B" w:rsidRPr="00C34C19">
        <w:rPr>
          <w:rFonts w:ascii="Arial" w:hAnsi="Arial" w:cs="Arial"/>
        </w:rPr>
        <w:t xml:space="preserve"> additional funding was allocated by </w:t>
      </w:r>
      <w:r w:rsidRPr="00C34C19">
        <w:rPr>
          <w:rFonts w:ascii="Arial" w:hAnsi="Arial" w:cs="Arial"/>
        </w:rPr>
        <w:t>the National Treasury to suppleme</w:t>
      </w:r>
      <w:r w:rsidR="00B561C8">
        <w:rPr>
          <w:rFonts w:ascii="Arial" w:hAnsi="Arial" w:cs="Arial"/>
        </w:rPr>
        <w:t>nt capital expenditure at TVET c</w:t>
      </w:r>
      <w:r w:rsidRPr="00C34C19">
        <w:rPr>
          <w:rFonts w:ascii="Arial" w:hAnsi="Arial" w:cs="Arial"/>
        </w:rPr>
        <w:t xml:space="preserve">olleges. </w:t>
      </w:r>
    </w:p>
    <w:p w:rsidR="00E103E5" w:rsidRPr="00C34C19" w:rsidRDefault="00D151E0" w:rsidP="00B561C8">
      <w:pPr>
        <w:spacing w:after="0" w:line="360" w:lineRule="auto"/>
        <w:ind w:left="425"/>
        <w:rPr>
          <w:rFonts w:ascii="Arial" w:hAnsi="Arial" w:cs="Arial"/>
          <w:b/>
        </w:rPr>
      </w:pPr>
      <w:r>
        <w:rPr>
          <w:rFonts w:ascii="Arial" w:hAnsi="Arial" w:cs="Arial"/>
          <w:b/>
        </w:rPr>
        <w:t>Transfers a</w:t>
      </w:r>
      <w:r w:rsidRPr="00C34C19">
        <w:rPr>
          <w:rFonts w:ascii="Arial" w:hAnsi="Arial" w:cs="Arial"/>
          <w:b/>
        </w:rPr>
        <w:t>nd Subsidies:</w:t>
      </w:r>
    </w:p>
    <w:p w:rsidR="00741309" w:rsidRPr="00C34C19" w:rsidRDefault="00741309" w:rsidP="00B561C8">
      <w:pPr>
        <w:spacing w:line="360" w:lineRule="auto"/>
        <w:ind w:left="426"/>
        <w:jc w:val="both"/>
        <w:outlineLvl w:val="0"/>
        <w:rPr>
          <w:rFonts w:ascii="Arial" w:hAnsi="Arial" w:cs="Arial"/>
        </w:rPr>
      </w:pPr>
      <w:r w:rsidRPr="00C34C19">
        <w:rPr>
          <w:rFonts w:ascii="Arial" w:hAnsi="Arial" w:cs="Arial"/>
        </w:rPr>
        <w:t>These funds are directly t</w:t>
      </w:r>
      <w:r w:rsidR="00960A49" w:rsidRPr="00C34C19">
        <w:rPr>
          <w:rFonts w:ascii="Arial" w:hAnsi="Arial" w:cs="Arial"/>
        </w:rPr>
        <w:t>ransferred to</w:t>
      </w:r>
      <w:r w:rsidR="00B561C8">
        <w:rPr>
          <w:rFonts w:ascii="Arial" w:hAnsi="Arial" w:cs="Arial"/>
        </w:rPr>
        <w:t xml:space="preserve"> TVET colleges in three </w:t>
      </w:r>
      <w:r w:rsidR="00960A49" w:rsidRPr="00C34C19">
        <w:rPr>
          <w:rFonts w:ascii="Arial" w:hAnsi="Arial" w:cs="Arial"/>
        </w:rPr>
        <w:t xml:space="preserve">payments each year. </w:t>
      </w:r>
      <w:r w:rsidRPr="00C34C19">
        <w:rPr>
          <w:rFonts w:ascii="Arial" w:hAnsi="Arial" w:cs="Arial"/>
        </w:rPr>
        <w:t>These funds a</w:t>
      </w:r>
      <w:r w:rsidR="00B561C8">
        <w:rPr>
          <w:rFonts w:ascii="Arial" w:hAnsi="Arial" w:cs="Arial"/>
        </w:rPr>
        <w:t xml:space="preserve">re mainly used to cater for </w:t>
      </w:r>
      <w:r w:rsidRPr="00C34C19">
        <w:rPr>
          <w:rFonts w:ascii="Arial" w:hAnsi="Arial" w:cs="Arial"/>
        </w:rPr>
        <w:t>operational costs</w:t>
      </w:r>
      <w:r w:rsidR="008D6786" w:rsidRPr="00C34C19">
        <w:rPr>
          <w:rFonts w:ascii="Arial" w:hAnsi="Arial" w:cs="Arial"/>
        </w:rPr>
        <w:t xml:space="preserve"> such as water, electricity, services, </w:t>
      </w:r>
      <w:r w:rsidR="0065550F" w:rsidRPr="00C34C19">
        <w:rPr>
          <w:rFonts w:ascii="Arial" w:hAnsi="Arial" w:cs="Arial"/>
        </w:rPr>
        <w:t xml:space="preserve">learner and </w:t>
      </w:r>
      <w:r w:rsidR="008D6786" w:rsidRPr="00C34C19">
        <w:rPr>
          <w:rFonts w:ascii="Arial" w:hAnsi="Arial" w:cs="Arial"/>
        </w:rPr>
        <w:t>teaching materials</w:t>
      </w:r>
      <w:r w:rsidR="0065550F" w:rsidRPr="00C34C19">
        <w:rPr>
          <w:rFonts w:ascii="Arial" w:hAnsi="Arial" w:cs="Arial"/>
        </w:rPr>
        <w:t xml:space="preserve">, protective </w:t>
      </w:r>
      <w:r w:rsidR="00B1275B" w:rsidRPr="00C34C19">
        <w:rPr>
          <w:rFonts w:ascii="Arial" w:hAnsi="Arial" w:cs="Arial"/>
        </w:rPr>
        <w:t>clothing</w:t>
      </w:r>
      <w:r w:rsidR="00B561C8">
        <w:rPr>
          <w:rFonts w:ascii="Arial" w:hAnsi="Arial" w:cs="Arial"/>
        </w:rPr>
        <w:t>,</w:t>
      </w:r>
      <w:r w:rsidR="008D6786" w:rsidRPr="00C34C19">
        <w:rPr>
          <w:rFonts w:ascii="Arial" w:hAnsi="Arial" w:cs="Arial"/>
        </w:rPr>
        <w:t xml:space="preserve"> etc. in order to deliver </w:t>
      </w:r>
      <w:r w:rsidRPr="00C34C19">
        <w:rPr>
          <w:rFonts w:ascii="Arial" w:hAnsi="Arial" w:cs="Arial"/>
        </w:rPr>
        <w:t>effective and e</w:t>
      </w:r>
      <w:r w:rsidR="008D6786" w:rsidRPr="00C34C19">
        <w:rPr>
          <w:rFonts w:ascii="Arial" w:hAnsi="Arial" w:cs="Arial"/>
        </w:rPr>
        <w:t>fficient teaching and learning.</w:t>
      </w:r>
    </w:p>
    <w:p w:rsidR="00C654A2" w:rsidRPr="00C34C19" w:rsidRDefault="00C34C19" w:rsidP="00CD33FE">
      <w:pPr>
        <w:spacing w:line="360" w:lineRule="auto"/>
        <w:jc w:val="both"/>
        <w:rPr>
          <w:rFonts w:ascii="Arial" w:hAnsi="Arial" w:cs="Arial"/>
        </w:rPr>
      </w:pPr>
      <w:r>
        <w:rPr>
          <w:rFonts w:ascii="Arial" w:hAnsi="Arial" w:cs="Arial"/>
        </w:rPr>
        <w:br w:type="page"/>
      </w:r>
      <w:r w:rsidR="00CC27E4" w:rsidRPr="00C34C19">
        <w:rPr>
          <w:rFonts w:ascii="Arial" w:hAnsi="Arial" w:cs="Arial"/>
        </w:rPr>
        <w:lastRenderedPageBreak/>
        <w:t>COMPILER/CONTACT PERSONS:</w:t>
      </w:r>
      <w:r w:rsidR="008F0123" w:rsidRPr="00C34C19">
        <w:rPr>
          <w:rFonts w:ascii="Arial" w:hAnsi="Arial" w:cs="Arial"/>
        </w:rPr>
        <w:t xml:space="preserve"> </w:t>
      </w:r>
    </w:p>
    <w:p w:rsidR="00C3677B" w:rsidRPr="00C34C19" w:rsidRDefault="00CC27E4" w:rsidP="00CD33FE">
      <w:pPr>
        <w:spacing w:line="360" w:lineRule="auto"/>
        <w:jc w:val="both"/>
        <w:rPr>
          <w:rFonts w:ascii="Arial" w:hAnsi="Arial" w:cs="Arial"/>
        </w:rPr>
      </w:pPr>
      <w:r w:rsidRPr="00C34C19">
        <w:rPr>
          <w:rFonts w:ascii="Arial" w:hAnsi="Arial" w:cs="Arial"/>
        </w:rPr>
        <w:t>EXT:</w:t>
      </w:r>
      <w:r w:rsidR="008F0123" w:rsidRPr="00C34C19">
        <w:rPr>
          <w:rFonts w:ascii="Arial" w:hAnsi="Arial" w:cs="Arial"/>
        </w:rPr>
        <w:t xml:space="preserve"> </w:t>
      </w:r>
    </w:p>
    <w:p w:rsidR="00C3677B" w:rsidRPr="00C34C19" w:rsidRDefault="00C3677B" w:rsidP="00DC256F">
      <w:pPr>
        <w:spacing w:line="360" w:lineRule="auto"/>
        <w:jc w:val="both"/>
        <w:rPr>
          <w:rFonts w:ascii="Arial" w:hAnsi="Arial" w:cs="Arial"/>
        </w:rPr>
      </w:pPr>
    </w:p>
    <w:p w:rsidR="003E455E" w:rsidRPr="00C34C19" w:rsidRDefault="003E455E" w:rsidP="00DC256F">
      <w:pPr>
        <w:spacing w:line="360" w:lineRule="auto"/>
        <w:jc w:val="both"/>
        <w:rPr>
          <w:rFonts w:ascii="Arial" w:hAnsi="Arial" w:cs="Arial"/>
        </w:rPr>
      </w:pPr>
    </w:p>
    <w:p w:rsidR="00A0228E" w:rsidRPr="00C34C19" w:rsidRDefault="00A0228E" w:rsidP="00DC256F">
      <w:pPr>
        <w:spacing w:line="360" w:lineRule="auto"/>
        <w:jc w:val="both"/>
        <w:rPr>
          <w:rFonts w:ascii="Arial" w:hAnsi="Arial" w:cs="Arial"/>
        </w:rPr>
      </w:pPr>
    </w:p>
    <w:p w:rsidR="00C3677B" w:rsidRPr="00C34C19" w:rsidRDefault="00C3677B" w:rsidP="00DC256F">
      <w:pPr>
        <w:spacing w:line="360" w:lineRule="auto"/>
        <w:jc w:val="both"/>
        <w:rPr>
          <w:rFonts w:ascii="Arial" w:hAnsi="Arial" w:cs="Arial"/>
        </w:rPr>
      </w:pPr>
      <w:r w:rsidRPr="00C34C19">
        <w:rPr>
          <w:rFonts w:ascii="Arial" w:hAnsi="Arial" w:cs="Arial"/>
        </w:rPr>
        <w:t>DIRECTOR –</w:t>
      </w:r>
      <w:r w:rsidR="00DE6F6F" w:rsidRPr="00C34C19">
        <w:rPr>
          <w:rFonts w:ascii="Arial" w:hAnsi="Arial" w:cs="Arial"/>
        </w:rPr>
        <w:t xml:space="preserve"> </w:t>
      </w:r>
      <w:r w:rsidRPr="00C34C19">
        <w:rPr>
          <w:rFonts w:ascii="Arial" w:hAnsi="Arial" w:cs="Arial"/>
        </w:rPr>
        <w:t>GENERAL</w:t>
      </w:r>
    </w:p>
    <w:p w:rsidR="00C3677B" w:rsidRPr="00C34C19" w:rsidRDefault="00C3677B" w:rsidP="00DC256F">
      <w:pPr>
        <w:spacing w:line="360" w:lineRule="auto"/>
        <w:jc w:val="both"/>
        <w:rPr>
          <w:rFonts w:ascii="Arial" w:hAnsi="Arial" w:cs="Arial"/>
        </w:rPr>
      </w:pPr>
      <w:r w:rsidRPr="00C34C19">
        <w:rPr>
          <w:rFonts w:ascii="Arial" w:hAnsi="Arial" w:cs="Arial"/>
        </w:rPr>
        <w:t>STATUS:</w:t>
      </w:r>
    </w:p>
    <w:p w:rsidR="00C3677B" w:rsidRPr="00C34C19" w:rsidRDefault="00C3677B" w:rsidP="00DC256F">
      <w:pPr>
        <w:spacing w:line="360" w:lineRule="auto"/>
        <w:jc w:val="both"/>
        <w:rPr>
          <w:rFonts w:ascii="Arial" w:hAnsi="Arial" w:cs="Arial"/>
        </w:rPr>
      </w:pPr>
      <w:r w:rsidRPr="00C34C19">
        <w:rPr>
          <w:rFonts w:ascii="Arial" w:hAnsi="Arial" w:cs="Arial"/>
        </w:rPr>
        <w:t>DATE:</w:t>
      </w:r>
    </w:p>
    <w:p w:rsidR="00245A6B" w:rsidRPr="00C34C19" w:rsidRDefault="00245A6B" w:rsidP="00DC256F">
      <w:pPr>
        <w:spacing w:line="360" w:lineRule="auto"/>
        <w:jc w:val="both"/>
        <w:rPr>
          <w:rFonts w:ascii="Arial" w:hAnsi="Arial" w:cs="Arial"/>
        </w:rPr>
      </w:pPr>
    </w:p>
    <w:p w:rsidR="00A0228E" w:rsidRPr="00C34C19" w:rsidRDefault="00A0228E" w:rsidP="00DC256F">
      <w:pPr>
        <w:spacing w:line="360" w:lineRule="auto"/>
        <w:jc w:val="both"/>
        <w:rPr>
          <w:rFonts w:ascii="Arial" w:hAnsi="Arial" w:cs="Arial"/>
        </w:rPr>
      </w:pPr>
    </w:p>
    <w:p w:rsidR="003E455E" w:rsidRPr="00C34C19" w:rsidRDefault="003E455E" w:rsidP="00DC256F">
      <w:pPr>
        <w:spacing w:line="360" w:lineRule="auto"/>
        <w:jc w:val="both"/>
        <w:rPr>
          <w:rFonts w:ascii="Arial" w:hAnsi="Arial" w:cs="Arial"/>
        </w:rPr>
      </w:pPr>
    </w:p>
    <w:p w:rsidR="00C3677B" w:rsidRPr="00C34C19" w:rsidRDefault="00C3677B" w:rsidP="00DC256F">
      <w:pPr>
        <w:spacing w:line="360" w:lineRule="auto"/>
        <w:jc w:val="both"/>
        <w:rPr>
          <w:rFonts w:ascii="Arial" w:hAnsi="Arial" w:cs="Arial"/>
        </w:rPr>
      </w:pPr>
      <w:r w:rsidRPr="00C34C19">
        <w:rPr>
          <w:rFonts w:ascii="Arial" w:hAnsi="Arial" w:cs="Arial"/>
        </w:rPr>
        <w:t xml:space="preserve">QUESTION </w:t>
      </w:r>
      <w:r w:rsidR="00284BC9" w:rsidRPr="00C34C19">
        <w:rPr>
          <w:rFonts w:ascii="Arial" w:hAnsi="Arial" w:cs="Arial"/>
        </w:rPr>
        <w:t>386</w:t>
      </w:r>
      <w:r w:rsidR="005C6ED1" w:rsidRPr="00C34C19">
        <w:rPr>
          <w:rFonts w:ascii="Arial" w:hAnsi="Arial" w:cs="Arial"/>
        </w:rPr>
        <w:t xml:space="preserve"> </w:t>
      </w:r>
      <w:r w:rsidRPr="00C34C19">
        <w:rPr>
          <w:rFonts w:ascii="Arial" w:hAnsi="Arial" w:cs="Arial"/>
        </w:rPr>
        <w:t xml:space="preserve">APPROVED/NOT APPROVED/AMENDED </w:t>
      </w:r>
    </w:p>
    <w:p w:rsidR="00C3677B" w:rsidRPr="00C34C19" w:rsidRDefault="00C3677B" w:rsidP="00DC256F">
      <w:pPr>
        <w:spacing w:line="360" w:lineRule="auto"/>
        <w:jc w:val="both"/>
        <w:rPr>
          <w:rFonts w:ascii="Arial" w:hAnsi="Arial" w:cs="Arial"/>
        </w:rPr>
      </w:pPr>
    </w:p>
    <w:p w:rsidR="00C3677B" w:rsidRPr="00C34C19" w:rsidRDefault="00C3677B" w:rsidP="00DC256F">
      <w:pPr>
        <w:spacing w:line="360" w:lineRule="auto"/>
        <w:jc w:val="both"/>
        <w:rPr>
          <w:rFonts w:ascii="Arial" w:hAnsi="Arial" w:cs="Arial"/>
        </w:rPr>
      </w:pPr>
    </w:p>
    <w:p w:rsidR="00C3677B" w:rsidRPr="00C34C19" w:rsidRDefault="00C3677B" w:rsidP="00DC256F">
      <w:pPr>
        <w:spacing w:line="360" w:lineRule="auto"/>
        <w:jc w:val="both"/>
        <w:rPr>
          <w:rFonts w:ascii="Arial" w:hAnsi="Arial" w:cs="Arial"/>
        </w:rPr>
      </w:pPr>
      <w:r w:rsidRPr="00C34C19">
        <w:rPr>
          <w:rFonts w:ascii="Arial" w:hAnsi="Arial" w:cs="Arial"/>
        </w:rPr>
        <w:t>Dr B</w:t>
      </w:r>
      <w:r w:rsidR="008F0123" w:rsidRPr="00C34C19">
        <w:rPr>
          <w:rFonts w:ascii="Arial" w:hAnsi="Arial" w:cs="Arial"/>
        </w:rPr>
        <w:t>E</w:t>
      </w:r>
      <w:r w:rsidRPr="00C34C19">
        <w:rPr>
          <w:rFonts w:ascii="Arial" w:hAnsi="Arial" w:cs="Arial"/>
        </w:rPr>
        <w:t xml:space="preserve"> NZIMANDE, MP</w:t>
      </w:r>
    </w:p>
    <w:p w:rsidR="00C3677B" w:rsidRPr="00C34C19" w:rsidRDefault="00C3677B" w:rsidP="00DC256F">
      <w:pPr>
        <w:spacing w:line="360" w:lineRule="auto"/>
        <w:jc w:val="both"/>
        <w:rPr>
          <w:rFonts w:ascii="Arial" w:hAnsi="Arial" w:cs="Arial"/>
        </w:rPr>
      </w:pPr>
      <w:r w:rsidRPr="00C34C19">
        <w:rPr>
          <w:rFonts w:ascii="Arial" w:hAnsi="Arial" w:cs="Arial"/>
        </w:rPr>
        <w:t>MINISTER OF HIGHER EDUCATION AND TRAINING</w:t>
      </w:r>
    </w:p>
    <w:p w:rsidR="00C3677B" w:rsidRPr="00C34C19" w:rsidRDefault="00C3677B" w:rsidP="00DC256F">
      <w:pPr>
        <w:spacing w:line="360" w:lineRule="auto"/>
        <w:jc w:val="both"/>
        <w:rPr>
          <w:rFonts w:ascii="Arial" w:hAnsi="Arial" w:cs="Arial"/>
        </w:rPr>
      </w:pPr>
      <w:r w:rsidRPr="00C34C19">
        <w:rPr>
          <w:rFonts w:ascii="Arial" w:hAnsi="Arial" w:cs="Arial"/>
        </w:rPr>
        <w:t>STATUS:</w:t>
      </w:r>
    </w:p>
    <w:p w:rsidR="00C3677B" w:rsidRPr="00C34C19" w:rsidRDefault="00C3677B" w:rsidP="00DC256F">
      <w:pPr>
        <w:spacing w:line="360" w:lineRule="auto"/>
        <w:jc w:val="both"/>
        <w:rPr>
          <w:rFonts w:ascii="Arial" w:hAnsi="Arial" w:cs="Arial"/>
        </w:rPr>
      </w:pPr>
      <w:r w:rsidRPr="00C34C19">
        <w:rPr>
          <w:rFonts w:ascii="Arial" w:hAnsi="Arial" w:cs="Arial"/>
        </w:rPr>
        <w:t>DATE:</w:t>
      </w:r>
    </w:p>
    <w:sectPr w:rsidR="00C3677B" w:rsidRPr="00C34C19" w:rsidSect="0015436C">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58A" w:rsidRDefault="0011258A" w:rsidP="008F0123">
      <w:pPr>
        <w:spacing w:after="0" w:line="240" w:lineRule="auto"/>
      </w:pPr>
      <w:r>
        <w:separator/>
      </w:r>
    </w:p>
  </w:endnote>
  <w:endnote w:type="continuationSeparator" w:id="1">
    <w:p w:rsidR="0011258A" w:rsidRDefault="0011258A" w:rsidP="008F0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58A" w:rsidRDefault="0011258A" w:rsidP="008F0123">
      <w:pPr>
        <w:spacing w:after="0" w:line="240" w:lineRule="auto"/>
      </w:pPr>
      <w:r>
        <w:separator/>
      </w:r>
    </w:p>
  </w:footnote>
  <w:footnote w:type="continuationSeparator" w:id="1">
    <w:p w:rsidR="0011258A" w:rsidRDefault="0011258A" w:rsidP="008F0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6D54686"/>
    <w:multiLevelType w:val="hybridMultilevel"/>
    <w:tmpl w:val="0E88CF44"/>
    <w:lvl w:ilvl="0" w:tplc="414E9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D57C56"/>
    <w:multiLevelType w:val="hybridMultilevel"/>
    <w:tmpl w:val="95901CDC"/>
    <w:lvl w:ilvl="0" w:tplc="60785C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3415D05"/>
    <w:multiLevelType w:val="hybridMultilevel"/>
    <w:tmpl w:val="AFCEF88E"/>
    <w:lvl w:ilvl="0" w:tplc="1786C43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14B644A"/>
    <w:multiLevelType w:val="hybridMultilevel"/>
    <w:tmpl w:val="9A3C8B2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AA19C4"/>
    <w:multiLevelType w:val="hybridMultilevel"/>
    <w:tmpl w:val="2A3465A2"/>
    <w:lvl w:ilvl="0" w:tplc="FA8C5D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8"/>
  </w:num>
  <w:num w:numId="4">
    <w:abstractNumId w:val="8"/>
  </w:num>
  <w:num w:numId="5">
    <w:abstractNumId w:val="41"/>
  </w:num>
  <w:num w:numId="6">
    <w:abstractNumId w:val="29"/>
  </w:num>
  <w:num w:numId="7">
    <w:abstractNumId w:val="40"/>
  </w:num>
  <w:num w:numId="8">
    <w:abstractNumId w:val="5"/>
  </w:num>
  <w:num w:numId="9">
    <w:abstractNumId w:val="36"/>
  </w:num>
  <w:num w:numId="10">
    <w:abstractNumId w:val="24"/>
  </w:num>
  <w:num w:numId="11">
    <w:abstractNumId w:val="39"/>
  </w:num>
  <w:num w:numId="12">
    <w:abstractNumId w:val="12"/>
  </w:num>
  <w:num w:numId="13">
    <w:abstractNumId w:val="45"/>
  </w:num>
  <w:num w:numId="14">
    <w:abstractNumId w:val="17"/>
  </w:num>
  <w:num w:numId="15">
    <w:abstractNumId w:val="6"/>
  </w:num>
  <w:num w:numId="16">
    <w:abstractNumId w:val="30"/>
  </w:num>
  <w:num w:numId="17">
    <w:abstractNumId w:val="13"/>
  </w:num>
  <w:num w:numId="18">
    <w:abstractNumId w:val="34"/>
  </w:num>
  <w:num w:numId="19">
    <w:abstractNumId w:val="31"/>
  </w:num>
  <w:num w:numId="20">
    <w:abstractNumId w:val="7"/>
  </w:num>
  <w:num w:numId="21">
    <w:abstractNumId w:val="18"/>
  </w:num>
  <w:num w:numId="22">
    <w:abstractNumId w:val="46"/>
  </w:num>
  <w:num w:numId="23">
    <w:abstractNumId w:val="35"/>
  </w:num>
  <w:num w:numId="24">
    <w:abstractNumId w:val="44"/>
  </w:num>
  <w:num w:numId="25">
    <w:abstractNumId w:val="42"/>
  </w:num>
  <w:num w:numId="26">
    <w:abstractNumId w:val="1"/>
  </w:num>
  <w:num w:numId="27">
    <w:abstractNumId w:val="14"/>
  </w:num>
  <w:num w:numId="28">
    <w:abstractNumId w:val="2"/>
  </w:num>
  <w:num w:numId="29">
    <w:abstractNumId w:val="37"/>
  </w:num>
  <w:num w:numId="30">
    <w:abstractNumId w:val="16"/>
  </w:num>
  <w:num w:numId="31">
    <w:abstractNumId w:val="0"/>
  </w:num>
  <w:num w:numId="32">
    <w:abstractNumId w:val="43"/>
  </w:num>
  <w:num w:numId="33">
    <w:abstractNumId w:val="15"/>
  </w:num>
  <w:num w:numId="34">
    <w:abstractNumId w:val="9"/>
  </w:num>
  <w:num w:numId="35">
    <w:abstractNumId w:val="10"/>
  </w:num>
  <w:num w:numId="36">
    <w:abstractNumId w:val="11"/>
  </w:num>
  <w:num w:numId="37">
    <w:abstractNumId w:val="28"/>
  </w:num>
  <w:num w:numId="38">
    <w:abstractNumId w:val="20"/>
  </w:num>
  <w:num w:numId="39">
    <w:abstractNumId w:val="26"/>
  </w:num>
  <w:num w:numId="40">
    <w:abstractNumId w:val="25"/>
  </w:num>
  <w:num w:numId="41">
    <w:abstractNumId w:val="23"/>
  </w:num>
  <w:num w:numId="42">
    <w:abstractNumId w:val="3"/>
  </w:num>
  <w:num w:numId="43">
    <w:abstractNumId w:val="32"/>
  </w:num>
  <w:num w:numId="44">
    <w:abstractNumId w:val="22"/>
  </w:num>
  <w:num w:numId="45">
    <w:abstractNumId w:val="27"/>
  </w:num>
  <w:num w:numId="46">
    <w:abstractNumId w:val="19"/>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3D7858"/>
    <w:rsid w:val="00004C60"/>
    <w:rsid w:val="0000638E"/>
    <w:rsid w:val="0001216C"/>
    <w:rsid w:val="000260DC"/>
    <w:rsid w:val="000262F1"/>
    <w:rsid w:val="00032AB5"/>
    <w:rsid w:val="00041F99"/>
    <w:rsid w:val="00045FC1"/>
    <w:rsid w:val="0004639E"/>
    <w:rsid w:val="000554C7"/>
    <w:rsid w:val="000579B9"/>
    <w:rsid w:val="00060888"/>
    <w:rsid w:val="00063A3A"/>
    <w:rsid w:val="00075314"/>
    <w:rsid w:val="000808AE"/>
    <w:rsid w:val="00087811"/>
    <w:rsid w:val="00096A3C"/>
    <w:rsid w:val="00097507"/>
    <w:rsid w:val="000A02C9"/>
    <w:rsid w:val="000A0D33"/>
    <w:rsid w:val="000B7F3D"/>
    <w:rsid w:val="000D3E7B"/>
    <w:rsid w:val="000E58BD"/>
    <w:rsid w:val="000F2117"/>
    <w:rsid w:val="000F3379"/>
    <w:rsid w:val="00102241"/>
    <w:rsid w:val="0010402E"/>
    <w:rsid w:val="0010795D"/>
    <w:rsid w:val="001124D5"/>
    <w:rsid w:val="0011258A"/>
    <w:rsid w:val="00125282"/>
    <w:rsid w:val="001256E4"/>
    <w:rsid w:val="00135E62"/>
    <w:rsid w:val="0014191A"/>
    <w:rsid w:val="001447C9"/>
    <w:rsid w:val="00147BA4"/>
    <w:rsid w:val="001527E6"/>
    <w:rsid w:val="0015436C"/>
    <w:rsid w:val="00172351"/>
    <w:rsid w:val="00176498"/>
    <w:rsid w:val="00185818"/>
    <w:rsid w:val="00191755"/>
    <w:rsid w:val="00194585"/>
    <w:rsid w:val="001A01DC"/>
    <w:rsid w:val="001A1252"/>
    <w:rsid w:val="001A277A"/>
    <w:rsid w:val="001C33B5"/>
    <w:rsid w:val="001C6A3B"/>
    <w:rsid w:val="001D7C6A"/>
    <w:rsid w:val="001E36DF"/>
    <w:rsid w:val="001F4B7D"/>
    <w:rsid w:val="001F7966"/>
    <w:rsid w:val="0020779F"/>
    <w:rsid w:val="0021386F"/>
    <w:rsid w:val="00217678"/>
    <w:rsid w:val="0022116B"/>
    <w:rsid w:val="002264C4"/>
    <w:rsid w:val="00240583"/>
    <w:rsid w:val="00245A6B"/>
    <w:rsid w:val="002476A9"/>
    <w:rsid w:val="00256281"/>
    <w:rsid w:val="00264295"/>
    <w:rsid w:val="00265A26"/>
    <w:rsid w:val="00265A88"/>
    <w:rsid w:val="002670F8"/>
    <w:rsid w:val="00270825"/>
    <w:rsid w:val="00282858"/>
    <w:rsid w:val="00284BC9"/>
    <w:rsid w:val="0029445D"/>
    <w:rsid w:val="002A17B0"/>
    <w:rsid w:val="002A2F73"/>
    <w:rsid w:val="002A7DF4"/>
    <w:rsid w:val="002C16FF"/>
    <w:rsid w:val="002C60A6"/>
    <w:rsid w:val="002D188A"/>
    <w:rsid w:val="002D2DF9"/>
    <w:rsid w:val="002E3161"/>
    <w:rsid w:val="002F4DC9"/>
    <w:rsid w:val="002F6B49"/>
    <w:rsid w:val="00300C93"/>
    <w:rsid w:val="00305BF7"/>
    <w:rsid w:val="00313A4B"/>
    <w:rsid w:val="00315B13"/>
    <w:rsid w:val="00337949"/>
    <w:rsid w:val="00344509"/>
    <w:rsid w:val="00346812"/>
    <w:rsid w:val="003517A1"/>
    <w:rsid w:val="00351E0F"/>
    <w:rsid w:val="0035694A"/>
    <w:rsid w:val="00361776"/>
    <w:rsid w:val="0037732E"/>
    <w:rsid w:val="003963E3"/>
    <w:rsid w:val="003A40A1"/>
    <w:rsid w:val="003A5E76"/>
    <w:rsid w:val="003A725E"/>
    <w:rsid w:val="003A7BFD"/>
    <w:rsid w:val="003B48F6"/>
    <w:rsid w:val="003C1AB1"/>
    <w:rsid w:val="003C5A76"/>
    <w:rsid w:val="003D5AE8"/>
    <w:rsid w:val="003D6215"/>
    <w:rsid w:val="003D7858"/>
    <w:rsid w:val="003D790C"/>
    <w:rsid w:val="003E2F70"/>
    <w:rsid w:val="003E455E"/>
    <w:rsid w:val="003E69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B7E13"/>
    <w:rsid w:val="004C429A"/>
    <w:rsid w:val="004C4F38"/>
    <w:rsid w:val="004C703B"/>
    <w:rsid w:val="004D2BE1"/>
    <w:rsid w:val="004D74FD"/>
    <w:rsid w:val="004E0458"/>
    <w:rsid w:val="004E17B3"/>
    <w:rsid w:val="00504B93"/>
    <w:rsid w:val="00506012"/>
    <w:rsid w:val="00506E45"/>
    <w:rsid w:val="005127E5"/>
    <w:rsid w:val="005223B8"/>
    <w:rsid w:val="005228E3"/>
    <w:rsid w:val="005237E8"/>
    <w:rsid w:val="0053292C"/>
    <w:rsid w:val="00552E00"/>
    <w:rsid w:val="005577D9"/>
    <w:rsid w:val="00561493"/>
    <w:rsid w:val="00567927"/>
    <w:rsid w:val="00571740"/>
    <w:rsid w:val="00574DBC"/>
    <w:rsid w:val="00585D0E"/>
    <w:rsid w:val="00586840"/>
    <w:rsid w:val="005B4004"/>
    <w:rsid w:val="005B696E"/>
    <w:rsid w:val="005C0BA4"/>
    <w:rsid w:val="005C2051"/>
    <w:rsid w:val="005C4278"/>
    <w:rsid w:val="005C5AE9"/>
    <w:rsid w:val="005C6ED1"/>
    <w:rsid w:val="005C77F3"/>
    <w:rsid w:val="005D075B"/>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50F"/>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F4F"/>
    <w:rsid w:val="006C56E1"/>
    <w:rsid w:val="006E3002"/>
    <w:rsid w:val="006E3244"/>
    <w:rsid w:val="006E76DF"/>
    <w:rsid w:val="006F63E0"/>
    <w:rsid w:val="0070084E"/>
    <w:rsid w:val="00702601"/>
    <w:rsid w:val="00702F9A"/>
    <w:rsid w:val="00707E92"/>
    <w:rsid w:val="007141FA"/>
    <w:rsid w:val="00714E5D"/>
    <w:rsid w:val="00714E82"/>
    <w:rsid w:val="0071591A"/>
    <w:rsid w:val="00716487"/>
    <w:rsid w:val="00730B8E"/>
    <w:rsid w:val="00736643"/>
    <w:rsid w:val="00740B88"/>
    <w:rsid w:val="00741309"/>
    <w:rsid w:val="0075414E"/>
    <w:rsid w:val="00763A07"/>
    <w:rsid w:val="00765FDA"/>
    <w:rsid w:val="00766ABE"/>
    <w:rsid w:val="00766ADD"/>
    <w:rsid w:val="00770DA0"/>
    <w:rsid w:val="007775FD"/>
    <w:rsid w:val="007810CD"/>
    <w:rsid w:val="007A29F4"/>
    <w:rsid w:val="007B3617"/>
    <w:rsid w:val="007B4860"/>
    <w:rsid w:val="007C09F4"/>
    <w:rsid w:val="007C7109"/>
    <w:rsid w:val="007D7318"/>
    <w:rsid w:val="007E26C5"/>
    <w:rsid w:val="007E667A"/>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D6786"/>
    <w:rsid w:val="008F0123"/>
    <w:rsid w:val="008F10A3"/>
    <w:rsid w:val="008F4155"/>
    <w:rsid w:val="00901D6D"/>
    <w:rsid w:val="00906DE8"/>
    <w:rsid w:val="00907B99"/>
    <w:rsid w:val="0091448C"/>
    <w:rsid w:val="00914499"/>
    <w:rsid w:val="00925943"/>
    <w:rsid w:val="00933AC1"/>
    <w:rsid w:val="00933C19"/>
    <w:rsid w:val="0093534E"/>
    <w:rsid w:val="00947DCF"/>
    <w:rsid w:val="0095081D"/>
    <w:rsid w:val="009548B8"/>
    <w:rsid w:val="00960A49"/>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D4E"/>
    <w:rsid w:val="009F6FEA"/>
    <w:rsid w:val="00A009CF"/>
    <w:rsid w:val="00A0228E"/>
    <w:rsid w:val="00A03F44"/>
    <w:rsid w:val="00A173E2"/>
    <w:rsid w:val="00A237EC"/>
    <w:rsid w:val="00A26107"/>
    <w:rsid w:val="00A26364"/>
    <w:rsid w:val="00A33282"/>
    <w:rsid w:val="00A353C3"/>
    <w:rsid w:val="00A37101"/>
    <w:rsid w:val="00A4340E"/>
    <w:rsid w:val="00A44ACB"/>
    <w:rsid w:val="00A51526"/>
    <w:rsid w:val="00A54620"/>
    <w:rsid w:val="00A55D7A"/>
    <w:rsid w:val="00A738A8"/>
    <w:rsid w:val="00A8120A"/>
    <w:rsid w:val="00A93AA2"/>
    <w:rsid w:val="00A9633F"/>
    <w:rsid w:val="00AA246C"/>
    <w:rsid w:val="00AA3944"/>
    <w:rsid w:val="00AB01C3"/>
    <w:rsid w:val="00AB0581"/>
    <w:rsid w:val="00AB0621"/>
    <w:rsid w:val="00AC5B0F"/>
    <w:rsid w:val="00AE0682"/>
    <w:rsid w:val="00AE3241"/>
    <w:rsid w:val="00AE42CB"/>
    <w:rsid w:val="00AF2779"/>
    <w:rsid w:val="00AF776A"/>
    <w:rsid w:val="00B06FCC"/>
    <w:rsid w:val="00B122E9"/>
    <w:rsid w:val="00B12389"/>
    <w:rsid w:val="00B1275B"/>
    <w:rsid w:val="00B13598"/>
    <w:rsid w:val="00B16C29"/>
    <w:rsid w:val="00B32FD8"/>
    <w:rsid w:val="00B4178D"/>
    <w:rsid w:val="00B42D63"/>
    <w:rsid w:val="00B43DD3"/>
    <w:rsid w:val="00B561C8"/>
    <w:rsid w:val="00B659EA"/>
    <w:rsid w:val="00B757E2"/>
    <w:rsid w:val="00B8067B"/>
    <w:rsid w:val="00B8505E"/>
    <w:rsid w:val="00B9731E"/>
    <w:rsid w:val="00BA3FC5"/>
    <w:rsid w:val="00BB4AA5"/>
    <w:rsid w:val="00BC6170"/>
    <w:rsid w:val="00BD032F"/>
    <w:rsid w:val="00BD057C"/>
    <w:rsid w:val="00BE1AAF"/>
    <w:rsid w:val="00BE2524"/>
    <w:rsid w:val="00C07223"/>
    <w:rsid w:val="00C174D6"/>
    <w:rsid w:val="00C31C40"/>
    <w:rsid w:val="00C34C19"/>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0809"/>
    <w:rsid w:val="00C82A4E"/>
    <w:rsid w:val="00C865AF"/>
    <w:rsid w:val="00C8668A"/>
    <w:rsid w:val="00C919FD"/>
    <w:rsid w:val="00C939F0"/>
    <w:rsid w:val="00C9549B"/>
    <w:rsid w:val="00CA05A4"/>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4C12"/>
    <w:rsid w:val="00D066CD"/>
    <w:rsid w:val="00D104BB"/>
    <w:rsid w:val="00D114C4"/>
    <w:rsid w:val="00D151E0"/>
    <w:rsid w:val="00D167B0"/>
    <w:rsid w:val="00D23BBE"/>
    <w:rsid w:val="00D27EF0"/>
    <w:rsid w:val="00D322D6"/>
    <w:rsid w:val="00D376A7"/>
    <w:rsid w:val="00D43EAF"/>
    <w:rsid w:val="00D60616"/>
    <w:rsid w:val="00D61CEC"/>
    <w:rsid w:val="00D62110"/>
    <w:rsid w:val="00D63390"/>
    <w:rsid w:val="00D6369F"/>
    <w:rsid w:val="00D65A88"/>
    <w:rsid w:val="00D65D79"/>
    <w:rsid w:val="00D70439"/>
    <w:rsid w:val="00D847C6"/>
    <w:rsid w:val="00D8677C"/>
    <w:rsid w:val="00D95878"/>
    <w:rsid w:val="00DA24DA"/>
    <w:rsid w:val="00DB0A5E"/>
    <w:rsid w:val="00DB497C"/>
    <w:rsid w:val="00DB7628"/>
    <w:rsid w:val="00DC256F"/>
    <w:rsid w:val="00DC2A7E"/>
    <w:rsid w:val="00DC312F"/>
    <w:rsid w:val="00DC7853"/>
    <w:rsid w:val="00DD6D16"/>
    <w:rsid w:val="00DE6294"/>
    <w:rsid w:val="00DE6F6F"/>
    <w:rsid w:val="00DF2841"/>
    <w:rsid w:val="00E02103"/>
    <w:rsid w:val="00E034D3"/>
    <w:rsid w:val="00E103E5"/>
    <w:rsid w:val="00E35EF1"/>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B1F29"/>
    <w:rsid w:val="00EC0BF2"/>
    <w:rsid w:val="00EC6E65"/>
    <w:rsid w:val="00EC6E91"/>
    <w:rsid w:val="00ED51A1"/>
    <w:rsid w:val="00ED5C53"/>
    <w:rsid w:val="00EE020F"/>
    <w:rsid w:val="00EE0B7C"/>
    <w:rsid w:val="00EE1A72"/>
    <w:rsid w:val="00EE60BC"/>
    <w:rsid w:val="00EE711F"/>
    <w:rsid w:val="00EF63E0"/>
    <w:rsid w:val="00EF642C"/>
    <w:rsid w:val="00F028EF"/>
    <w:rsid w:val="00F04C73"/>
    <w:rsid w:val="00F077DE"/>
    <w:rsid w:val="00F34494"/>
    <w:rsid w:val="00F3584A"/>
    <w:rsid w:val="00F367EC"/>
    <w:rsid w:val="00F40812"/>
    <w:rsid w:val="00F42A10"/>
    <w:rsid w:val="00F454CC"/>
    <w:rsid w:val="00F476E9"/>
    <w:rsid w:val="00F52B81"/>
    <w:rsid w:val="00F61F23"/>
    <w:rsid w:val="00F62865"/>
    <w:rsid w:val="00F74316"/>
    <w:rsid w:val="00F75B29"/>
    <w:rsid w:val="00F76DD0"/>
    <w:rsid w:val="00F815FA"/>
    <w:rsid w:val="00F81CC3"/>
    <w:rsid w:val="00F850E2"/>
    <w:rsid w:val="00F85DFA"/>
    <w:rsid w:val="00F906B4"/>
    <w:rsid w:val="00F95BB9"/>
    <w:rsid w:val="00FA1432"/>
    <w:rsid w:val="00FA3CFC"/>
    <w:rsid w:val="00FA63E7"/>
    <w:rsid w:val="00FB0272"/>
    <w:rsid w:val="00FC1A3C"/>
    <w:rsid w:val="00FD0719"/>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F02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0123"/>
    <w:pPr>
      <w:tabs>
        <w:tab w:val="center" w:pos="4513"/>
        <w:tab w:val="right" w:pos="9026"/>
      </w:tabs>
    </w:pPr>
  </w:style>
  <w:style w:type="character" w:customStyle="1" w:styleId="HeaderChar">
    <w:name w:val="Header Char"/>
    <w:link w:val="Header"/>
    <w:uiPriority w:val="99"/>
    <w:rsid w:val="008F0123"/>
    <w:rPr>
      <w:rFonts w:cs="Calibri"/>
      <w:sz w:val="22"/>
      <w:szCs w:val="22"/>
      <w:lang w:val="en-GB" w:eastAsia="en-US"/>
    </w:rPr>
  </w:style>
  <w:style w:type="paragraph" w:styleId="Footer">
    <w:name w:val="footer"/>
    <w:basedOn w:val="Normal"/>
    <w:link w:val="FooterChar"/>
    <w:uiPriority w:val="99"/>
    <w:unhideWhenUsed/>
    <w:rsid w:val="008F0123"/>
    <w:pPr>
      <w:tabs>
        <w:tab w:val="center" w:pos="4513"/>
        <w:tab w:val="right" w:pos="9026"/>
      </w:tabs>
    </w:pPr>
  </w:style>
  <w:style w:type="character" w:customStyle="1" w:styleId="FooterChar">
    <w:name w:val="Footer Char"/>
    <w:link w:val="Footer"/>
    <w:uiPriority w:val="99"/>
    <w:rsid w:val="008F0123"/>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CD87-ABF3-4FB3-8209-7B380D46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User</cp:lastModifiedBy>
  <cp:revision>2</cp:revision>
  <cp:lastPrinted>2014-11-07T07:18:00Z</cp:lastPrinted>
  <dcterms:created xsi:type="dcterms:W3CDTF">2017-03-23T13:11:00Z</dcterms:created>
  <dcterms:modified xsi:type="dcterms:W3CDTF">2017-03-23T13:11:00Z</dcterms:modified>
</cp:coreProperties>
</file>