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01461E" w:rsidRDefault="00BE5AF9">
      <w:pPr>
        <w:pStyle w:val="Heading1"/>
        <w:jc w:val="center"/>
        <w:rPr>
          <w:sz w:val="24"/>
          <w:u w:val="single"/>
        </w:rPr>
      </w:pPr>
      <w:r w:rsidRPr="0001461E">
        <w:rPr>
          <w:sz w:val="24"/>
          <w:u w:val="single"/>
        </w:rPr>
        <w:t>N</w:t>
      </w:r>
      <w:r w:rsidR="007E6896" w:rsidRPr="0001461E">
        <w:rPr>
          <w:sz w:val="24"/>
          <w:u w:val="single"/>
        </w:rPr>
        <w:t>ATIONAL ASSEMBLY</w:t>
      </w:r>
    </w:p>
    <w:p w:rsidR="00E238C2" w:rsidRPr="0001461E" w:rsidRDefault="00E238C2">
      <w:pPr>
        <w:jc w:val="both"/>
        <w:rPr>
          <w:b/>
          <w:sz w:val="24"/>
          <w:u w:val="single"/>
        </w:rPr>
      </w:pPr>
    </w:p>
    <w:p w:rsidR="00E238C2" w:rsidRPr="0001461E" w:rsidRDefault="00E238C2">
      <w:pPr>
        <w:pStyle w:val="BodyText"/>
        <w:rPr>
          <w:b/>
          <w:bCs/>
          <w:sz w:val="24"/>
          <w:u w:val="single"/>
        </w:rPr>
      </w:pPr>
      <w:r w:rsidRPr="0001461E">
        <w:rPr>
          <w:b/>
          <w:bCs/>
          <w:sz w:val="24"/>
          <w:u w:val="single"/>
        </w:rPr>
        <w:t xml:space="preserve">FOR </w:t>
      </w:r>
      <w:r w:rsidR="001651E2" w:rsidRPr="0001461E">
        <w:rPr>
          <w:b/>
          <w:bCs/>
          <w:sz w:val="24"/>
          <w:u w:val="single"/>
        </w:rPr>
        <w:t xml:space="preserve">WRITTEN </w:t>
      </w:r>
      <w:r w:rsidRPr="0001461E">
        <w:rPr>
          <w:b/>
          <w:bCs/>
          <w:sz w:val="24"/>
          <w:u w:val="single"/>
        </w:rPr>
        <w:t>REPLY</w:t>
      </w:r>
    </w:p>
    <w:p w:rsidR="00E238C2" w:rsidRPr="0001461E" w:rsidRDefault="00E238C2">
      <w:pPr>
        <w:pStyle w:val="BodyText"/>
        <w:rPr>
          <w:b/>
          <w:bCs/>
          <w:sz w:val="24"/>
          <w:u w:val="single"/>
        </w:rPr>
      </w:pPr>
    </w:p>
    <w:p w:rsidR="00E238C2" w:rsidRPr="0001461E" w:rsidRDefault="005E1FBC">
      <w:pPr>
        <w:pStyle w:val="BodyText"/>
        <w:rPr>
          <w:b/>
          <w:bCs/>
          <w:sz w:val="24"/>
          <w:u w:val="single"/>
        </w:rPr>
      </w:pPr>
      <w:r w:rsidRPr="0001461E">
        <w:rPr>
          <w:b/>
          <w:bCs/>
          <w:sz w:val="24"/>
          <w:u w:val="single"/>
        </w:rPr>
        <w:t xml:space="preserve">QUESTION NO. </w:t>
      </w:r>
      <w:r w:rsidR="00975EDD">
        <w:rPr>
          <w:b/>
          <w:bCs/>
          <w:sz w:val="24"/>
          <w:u w:val="single"/>
        </w:rPr>
        <w:t>3</w:t>
      </w:r>
      <w:r w:rsidR="00445863">
        <w:rPr>
          <w:b/>
          <w:bCs/>
          <w:sz w:val="24"/>
          <w:u w:val="single"/>
        </w:rPr>
        <w:t>8</w:t>
      </w:r>
      <w:r w:rsidR="00637EFF">
        <w:rPr>
          <w:b/>
          <w:bCs/>
          <w:sz w:val="24"/>
          <w:u w:val="single"/>
        </w:rPr>
        <w:t>52</w:t>
      </w:r>
    </w:p>
    <w:p w:rsidR="00E238C2" w:rsidRPr="0001461E" w:rsidRDefault="00E238C2">
      <w:pPr>
        <w:pStyle w:val="BodyText"/>
        <w:rPr>
          <w:b/>
          <w:bCs/>
          <w:sz w:val="24"/>
          <w:u w:val="single"/>
        </w:rPr>
      </w:pPr>
    </w:p>
    <w:p w:rsidR="00E238C2" w:rsidRPr="0001461E" w:rsidRDefault="00E238C2">
      <w:pPr>
        <w:pStyle w:val="BodyText"/>
        <w:rPr>
          <w:b/>
          <w:bCs/>
          <w:sz w:val="24"/>
          <w:u w:val="single"/>
        </w:rPr>
      </w:pPr>
      <w:r w:rsidRPr="0001461E">
        <w:rPr>
          <w:b/>
          <w:bCs/>
          <w:sz w:val="24"/>
          <w:u w:val="single"/>
        </w:rPr>
        <w:t xml:space="preserve">DATE OF PUBLICATION IN INTERNAL QUESTION PAPER: </w:t>
      </w:r>
      <w:r w:rsidR="00445863">
        <w:rPr>
          <w:b/>
          <w:bCs/>
          <w:sz w:val="24"/>
          <w:u w:val="single"/>
        </w:rPr>
        <w:t>23</w:t>
      </w:r>
      <w:r w:rsidR="00A55F34">
        <w:rPr>
          <w:b/>
          <w:bCs/>
          <w:sz w:val="24"/>
          <w:u w:val="single"/>
        </w:rPr>
        <w:t xml:space="preserve"> OCTOBER</w:t>
      </w:r>
      <w:r w:rsidR="005B52CD">
        <w:rPr>
          <w:b/>
          <w:bCs/>
          <w:sz w:val="24"/>
          <w:u w:val="single"/>
        </w:rPr>
        <w:t xml:space="preserve"> </w:t>
      </w:r>
      <w:r w:rsidRPr="0001461E">
        <w:rPr>
          <w:b/>
          <w:bCs/>
          <w:sz w:val="24"/>
          <w:u w:val="single"/>
        </w:rPr>
        <w:t>20</w:t>
      </w:r>
      <w:r w:rsidR="005E1FBC" w:rsidRPr="0001461E">
        <w:rPr>
          <w:b/>
          <w:bCs/>
          <w:sz w:val="24"/>
          <w:u w:val="single"/>
        </w:rPr>
        <w:t>1</w:t>
      </w:r>
      <w:r w:rsidR="006779D4" w:rsidRPr="0001461E">
        <w:rPr>
          <w:b/>
          <w:bCs/>
          <w:sz w:val="24"/>
          <w:u w:val="single"/>
        </w:rPr>
        <w:t>5</w:t>
      </w:r>
      <w:r w:rsidRPr="0001461E">
        <w:rPr>
          <w:b/>
          <w:bCs/>
          <w:sz w:val="24"/>
          <w:u w:val="single"/>
        </w:rPr>
        <w:t xml:space="preserve">   </w:t>
      </w:r>
    </w:p>
    <w:p w:rsidR="00E238C2" w:rsidRPr="00F816C5" w:rsidRDefault="00E238C2" w:rsidP="006664AE">
      <w:pPr>
        <w:spacing w:after="240"/>
        <w:rPr>
          <w:b/>
          <w:bCs/>
          <w:sz w:val="24"/>
          <w:u w:val="single"/>
        </w:rPr>
      </w:pPr>
      <w:r w:rsidRPr="0001461E">
        <w:rPr>
          <w:b/>
          <w:bCs/>
          <w:sz w:val="24"/>
          <w:u w:val="single"/>
        </w:rPr>
        <w:t>(INTE</w:t>
      </w:r>
      <w:r w:rsidRPr="005121B0">
        <w:rPr>
          <w:b/>
          <w:bCs/>
          <w:sz w:val="24"/>
          <w:u w:val="single"/>
        </w:rPr>
        <w:t xml:space="preserve">RNAL QUESTION PAPER NO. </w:t>
      </w:r>
      <w:r w:rsidR="00A55F34">
        <w:rPr>
          <w:b/>
          <w:bCs/>
          <w:sz w:val="24"/>
          <w:u w:val="single"/>
        </w:rPr>
        <w:t>4</w:t>
      </w:r>
      <w:r w:rsidR="00445863">
        <w:rPr>
          <w:b/>
          <w:bCs/>
          <w:sz w:val="24"/>
          <w:u w:val="single"/>
        </w:rPr>
        <w:t>2</w:t>
      </w:r>
      <w:r w:rsidRPr="005121B0">
        <w:rPr>
          <w:b/>
          <w:bCs/>
          <w:sz w:val="24"/>
          <w:u w:val="single"/>
        </w:rPr>
        <w:t>)</w:t>
      </w:r>
    </w:p>
    <w:p w:rsidR="00637EFF" w:rsidRPr="00637EFF" w:rsidRDefault="00637EFF" w:rsidP="00637EFF">
      <w:pPr>
        <w:spacing w:before="100" w:beforeAutospacing="1" w:after="100" w:afterAutospacing="1"/>
        <w:jc w:val="both"/>
        <w:outlineLvl w:val="0"/>
        <w:rPr>
          <w:b/>
          <w:sz w:val="24"/>
          <w:u w:val="single"/>
        </w:rPr>
      </w:pPr>
      <w:r w:rsidRPr="00637EFF">
        <w:rPr>
          <w:b/>
          <w:sz w:val="24"/>
          <w:u w:val="single"/>
        </w:rPr>
        <w:t xml:space="preserve">Mr A F </w:t>
      </w:r>
      <w:proofErr w:type="spellStart"/>
      <w:r w:rsidRPr="00637EFF">
        <w:rPr>
          <w:b/>
          <w:bCs/>
          <w:sz w:val="24"/>
          <w:u w:val="single"/>
          <w:lang w:val="en-ZA"/>
        </w:rPr>
        <w:t>Mahlalela</w:t>
      </w:r>
      <w:proofErr w:type="spellEnd"/>
      <w:r w:rsidRPr="00637EFF">
        <w:rPr>
          <w:b/>
          <w:sz w:val="24"/>
          <w:u w:val="single"/>
        </w:rPr>
        <w:t xml:space="preserve"> (ANC) to ask the Minister of Health:</w:t>
      </w:r>
    </w:p>
    <w:p w:rsidR="00637EFF" w:rsidRPr="00637EFF" w:rsidRDefault="00637EFF" w:rsidP="00637EFF">
      <w:pPr>
        <w:pStyle w:val="NormalWeb"/>
        <w:ind w:left="720" w:hanging="720"/>
        <w:jc w:val="both"/>
        <w:rPr>
          <w:rFonts w:ascii="Arial" w:hAnsi="Arial" w:cs="Arial"/>
        </w:rPr>
      </w:pPr>
      <w:r w:rsidRPr="00637EFF">
        <w:rPr>
          <w:rFonts w:ascii="Arial" w:hAnsi="Arial" w:cs="Arial"/>
        </w:rPr>
        <w:t>(1)</w:t>
      </w:r>
      <w:r w:rsidRPr="00637EFF">
        <w:rPr>
          <w:rFonts w:ascii="Arial" w:hAnsi="Arial" w:cs="Arial"/>
        </w:rPr>
        <w:tab/>
        <w:t>Whether, in light of the finding by the District Health Barometer, which has been published by the Health Systems Trust that there are provinces and/or areas in provinces where children under the age of five years are dying in hospitals due to severe malnutrition, pneumonia and diarrhea, he can provide detailed information with regard to (a)(</w:t>
      </w:r>
      <w:proofErr w:type="spellStart"/>
      <w:r w:rsidRPr="00637EFF">
        <w:rPr>
          <w:rFonts w:ascii="Arial" w:hAnsi="Arial" w:cs="Arial"/>
        </w:rPr>
        <w:t>i</w:t>
      </w:r>
      <w:proofErr w:type="spellEnd"/>
      <w:r w:rsidRPr="00637EFF">
        <w:rPr>
          <w:rFonts w:ascii="Arial" w:hAnsi="Arial" w:cs="Arial"/>
        </w:rPr>
        <w:t>) specified provinces and (ii) hospitals, (b) the causes for the specified medical conditions and (c) measures that his department has implemented to reverse the specified situation; if not, why not; if so, what are the relevant details;</w:t>
      </w:r>
    </w:p>
    <w:p w:rsidR="00721839" w:rsidRPr="00637EFF" w:rsidRDefault="00637EFF" w:rsidP="00637EFF">
      <w:pPr>
        <w:spacing w:before="100" w:beforeAutospacing="1" w:after="100" w:afterAutospacing="1"/>
        <w:ind w:left="720" w:right="-142" w:hanging="720"/>
        <w:jc w:val="both"/>
        <w:rPr>
          <w:sz w:val="24"/>
          <w:lang w:val="en-ZA"/>
        </w:rPr>
      </w:pPr>
      <w:r w:rsidRPr="00637EFF">
        <w:rPr>
          <w:sz w:val="24"/>
        </w:rPr>
        <w:t>(2)</w:t>
      </w:r>
      <w:r w:rsidRPr="00637EFF">
        <w:rPr>
          <w:sz w:val="24"/>
        </w:rPr>
        <w:tab/>
      </w:r>
      <w:proofErr w:type="gramStart"/>
      <w:r w:rsidRPr="00637EFF">
        <w:rPr>
          <w:sz w:val="24"/>
        </w:rPr>
        <w:t>whether</w:t>
      </w:r>
      <w:proofErr w:type="gramEnd"/>
      <w:r w:rsidRPr="00637EFF">
        <w:rPr>
          <w:sz w:val="24"/>
        </w:rPr>
        <w:t xml:space="preserve"> other departments and/or stakeholders played any role in this regard; if so, what </w:t>
      </w:r>
      <w:r w:rsidRPr="00637EFF">
        <w:rPr>
          <w:color w:val="000000"/>
          <w:sz w:val="24"/>
        </w:rPr>
        <w:t>role</w:t>
      </w:r>
      <w:r>
        <w:rPr>
          <w:sz w:val="24"/>
        </w:rPr>
        <w:t xml:space="preserve">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4C7AB2">
        <w:rPr>
          <w:color w:val="000000"/>
        </w:rPr>
        <w:t>4</w:t>
      </w:r>
      <w:r w:rsidR="00912E9F">
        <w:rPr>
          <w:color w:val="000000"/>
        </w:rPr>
        <w:t>6</w:t>
      </w:r>
      <w:r w:rsidR="00637EFF">
        <w:rPr>
          <w:color w:val="000000"/>
        </w:rPr>
        <w:t>62</w:t>
      </w:r>
      <w:r w:rsidR="009D2E42">
        <w:rPr>
          <w:color w:val="000000"/>
        </w:rPr>
        <w:t>E</w:t>
      </w:r>
      <w:r w:rsidR="00E238C2">
        <w:rPr>
          <w:color w:val="000000"/>
          <w:szCs w:val="20"/>
        </w:rPr>
        <w:t xml:space="preserve"> </w:t>
      </w:r>
    </w:p>
    <w:p w:rsidR="00E238C2" w:rsidRPr="0001461E" w:rsidRDefault="00E238C2" w:rsidP="00C41194">
      <w:pPr>
        <w:rPr>
          <w:b/>
          <w:bCs/>
          <w:sz w:val="24"/>
          <w:u w:val="single"/>
          <w:lang w:val="en-US"/>
        </w:rPr>
      </w:pPr>
      <w:r w:rsidRPr="0001461E">
        <w:rPr>
          <w:b/>
          <w:bCs/>
          <w:sz w:val="24"/>
          <w:u w:val="single"/>
          <w:lang w:val="en-US"/>
        </w:rPr>
        <w:t>REPLY:</w:t>
      </w:r>
    </w:p>
    <w:p w:rsidR="00202CF5" w:rsidRPr="0001461E" w:rsidRDefault="00202CF5" w:rsidP="00357A10">
      <w:pPr>
        <w:pStyle w:val="BodyText"/>
        <w:rPr>
          <w:sz w:val="24"/>
          <w:lang w:val="en-GB"/>
        </w:rPr>
      </w:pPr>
    </w:p>
    <w:p w:rsidR="00DD25D0" w:rsidRPr="00DD25D0" w:rsidRDefault="00DD25D0" w:rsidP="00DD25D0">
      <w:pPr>
        <w:pStyle w:val="ListParagraph"/>
        <w:numPr>
          <w:ilvl w:val="0"/>
          <w:numId w:val="34"/>
        </w:numPr>
        <w:ind w:left="1418" w:hanging="1418"/>
        <w:jc w:val="both"/>
        <w:outlineLvl w:val="0"/>
        <w:rPr>
          <w:sz w:val="24"/>
        </w:rPr>
      </w:pPr>
      <w:r>
        <w:rPr>
          <w:sz w:val="24"/>
        </w:rPr>
        <w:t>(a)</w:t>
      </w:r>
      <w:r>
        <w:rPr>
          <w:sz w:val="24"/>
        </w:rPr>
        <w:tab/>
      </w:r>
      <w:r w:rsidRPr="00DD25D0">
        <w:rPr>
          <w:sz w:val="24"/>
        </w:rPr>
        <w:t xml:space="preserve">The 2014/15 District Health Barometer provides information regarding deaths from diarrhoea, pneumonia and Severe Acute Malnutrition (SAM) amongst children </w:t>
      </w:r>
      <w:proofErr w:type="gramStart"/>
      <w:r w:rsidRPr="00DD25D0">
        <w:rPr>
          <w:sz w:val="24"/>
        </w:rPr>
        <w:t>under</w:t>
      </w:r>
      <w:proofErr w:type="gramEnd"/>
      <w:r w:rsidRPr="00DD25D0">
        <w:rPr>
          <w:sz w:val="24"/>
        </w:rPr>
        <w:t xml:space="preserve"> five years of age. </w:t>
      </w:r>
      <w:fldSimple w:instr=" REF _Ref434503618 \h  \* MERGEFORMAT ">
        <w:r w:rsidRPr="00DD25D0">
          <w:rPr>
            <w:sz w:val="24"/>
          </w:rPr>
          <w:t xml:space="preserve">Table </w:t>
        </w:r>
        <w:r w:rsidRPr="00DD25D0">
          <w:rPr>
            <w:noProof/>
            <w:sz w:val="24"/>
          </w:rPr>
          <w:t>1</w:t>
        </w:r>
      </w:fldSimple>
      <w:r w:rsidRPr="00DD25D0">
        <w:rPr>
          <w:sz w:val="24"/>
        </w:rPr>
        <w:t xml:space="preserve"> (see below) is taken from the District Health Barometer</w:t>
      </w:r>
      <w:fldSimple w:instr=" NOTEREF _Ref434505319 \h  \* MERGEFORMAT ">
        <w:r w:rsidRPr="00DD25D0">
          <w:rPr>
            <w:sz w:val="24"/>
            <w:vertAlign w:val="superscript"/>
          </w:rPr>
          <w:t>1</w:t>
        </w:r>
      </w:fldSimple>
      <w:r w:rsidRPr="00DD25D0">
        <w:rPr>
          <w:sz w:val="24"/>
        </w:rPr>
        <w:t>. The table shows that the number of deaths due to these conditions, as well as the associated case fatality rates (the proportion of children who are admitted to hospital who die during that admission), have declined substantially since 2009/10.</w:t>
      </w:r>
    </w:p>
    <w:p w:rsidR="00DD25D0" w:rsidRDefault="00DD25D0" w:rsidP="00DD25D0">
      <w:pPr>
        <w:pStyle w:val="ListParagraph"/>
        <w:jc w:val="both"/>
        <w:rPr>
          <w:sz w:val="24"/>
        </w:rPr>
      </w:pPr>
    </w:p>
    <w:p w:rsidR="00DD25D0" w:rsidRPr="008620B3" w:rsidRDefault="00DD25D0" w:rsidP="00DD25D0">
      <w:pPr>
        <w:pStyle w:val="Caption"/>
        <w:ind w:left="1418"/>
        <w:jc w:val="both"/>
        <w:rPr>
          <w:rFonts w:cs="Arial"/>
          <w:sz w:val="20"/>
        </w:rPr>
      </w:pPr>
      <w:bookmarkStart w:id="0" w:name="_Ref434503618"/>
      <w:r w:rsidRPr="008620B3">
        <w:rPr>
          <w:sz w:val="20"/>
        </w:rPr>
        <w:t xml:space="preserve">Table </w:t>
      </w:r>
      <w:r w:rsidR="006C6455" w:rsidRPr="008620B3">
        <w:rPr>
          <w:sz w:val="20"/>
        </w:rPr>
        <w:fldChar w:fldCharType="begin"/>
      </w:r>
      <w:r w:rsidRPr="008620B3">
        <w:rPr>
          <w:sz w:val="20"/>
        </w:rPr>
        <w:instrText xml:space="preserve"> SEQ Table \* ARABIC </w:instrText>
      </w:r>
      <w:r w:rsidR="006C6455" w:rsidRPr="008620B3">
        <w:rPr>
          <w:sz w:val="20"/>
        </w:rPr>
        <w:fldChar w:fldCharType="separate"/>
      </w:r>
      <w:r>
        <w:rPr>
          <w:noProof/>
          <w:sz w:val="20"/>
        </w:rPr>
        <w:t>1</w:t>
      </w:r>
      <w:r w:rsidR="006C6455" w:rsidRPr="008620B3">
        <w:rPr>
          <w:sz w:val="20"/>
        </w:rPr>
        <w:fldChar w:fldCharType="end"/>
      </w:r>
      <w:bookmarkEnd w:id="0"/>
      <w:r w:rsidRPr="008620B3">
        <w:rPr>
          <w:sz w:val="20"/>
        </w:rPr>
        <w:t xml:space="preserve">: </w:t>
      </w:r>
      <w:r w:rsidRPr="008620B3">
        <w:rPr>
          <w:rFonts w:cs="Arial"/>
          <w:sz w:val="20"/>
        </w:rPr>
        <w:t xml:space="preserve">Deaths </w:t>
      </w:r>
      <w:r>
        <w:rPr>
          <w:rFonts w:cs="Arial"/>
          <w:sz w:val="20"/>
        </w:rPr>
        <w:t xml:space="preserve">and case fatality rates </w:t>
      </w:r>
      <w:r w:rsidRPr="008620B3">
        <w:rPr>
          <w:rFonts w:cs="Arial"/>
          <w:sz w:val="20"/>
        </w:rPr>
        <w:t>from diarrhoea, pneum</w:t>
      </w:r>
      <w:r>
        <w:rPr>
          <w:rFonts w:cs="Arial"/>
          <w:sz w:val="20"/>
        </w:rPr>
        <w:t xml:space="preserve">onia and SAM in children under five </w:t>
      </w:r>
      <w:r w:rsidRPr="008620B3">
        <w:rPr>
          <w:rFonts w:cs="Arial"/>
          <w:sz w:val="20"/>
        </w:rPr>
        <w:t>years of age, 2009/10 – 2014/15</w:t>
      </w:r>
      <w:bookmarkStart w:id="1" w:name="_Ref434505319"/>
      <w:r w:rsidRPr="008620B3">
        <w:rPr>
          <w:rStyle w:val="FootnoteReference"/>
          <w:rFonts w:cs="Arial"/>
          <w:sz w:val="20"/>
        </w:rPr>
        <w:footnoteReference w:id="1"/>
      </w:r>
      <w:bookmarkEnd w:id="1"/>
    </w:p>
    <w:p w:rsidR="00DD25D0" w:rsidRPr="002454FE" w:rsidRDefault="00DD25D0" w:rsidP="00DD25D0">
      <w:pPr>
        <w:pStyle w:val="ListParagraph"/>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1234"/>
        <w:gridCol w:w="1235"/>
        <w:gridCol w:w="1235"/>
        <w:gridCol w:w="1234"/>
        <w:gridCol w:w="1235"/>
        <w:gridCol w:w="1235"/>
      </w:tblGrid>
      <w:tr w:rsidR="00DD25D0" w:rsidTr="00DD25D0">
        <w:tc>
          <w:tcPr>
            <w:tcW w:w="1291" w:type="dxa"/>
            <w:vMerge w:val="restart"/>
            <w:tcBorders>
              <w:top w:val="single" w:sz="4" w:space="0" w:color="auto"/>
              <w:left w:val="single" w:sz="4" w:space="0" w:color="auto"/>
              <w:bottom w:val="single" w:sz="4" w:space="0" w:color="auto"/>
              <w:right w:val="single" w:sz="4" w:space="0" w:color="auto"/>
            </w:tcBorders>
            <w:vAlign w:val="center"/>
          </w:tcPr>
          <w:p w:rsidR="00DD25D0" w:rsidRPr="00DD25D0" w:rsidRDefault="00DD25D0" w:rsidP="00DD25D0">
            <w:pPr>
              <w:jc w:val="center"/>
              <w:rPr>
                <w:sz w:val="20"/>
                <w:szCs w:val="20"/>
              </w:rPr>
            </w:pP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b/>
                <w:sz w:val="20"/>
                <w:szCs w:val="20"/>
              </w:rPr>
            </w:pPr>
            <w:r w:rsidRPr="00DD25D0">
              <w:rPr>
                <w:b/>
                <w:sz w:val="20"/>
                <w:szCs w:val="20"/>
              </w:rPr>
              <w:t>Diarrhoea</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b/>
                <w:sz w:val="20"/>
                <w:szCs w:val="20"/>
              </w:rPr>
            </w:pPr>
            <w:r w:rsidRPr="00DD25D0">
              <w:rPr>
                <w:b/>
                <w:sz w:val="20"/>
                <w:szCs w:val="20"/>
              </w:rPr>
              <w:t>Pneumonia</w:t>
            </w: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b/>
                <w:sz w:val="20"/>
                <w:szCs w:val="20"/>
              </w:rPr>
            </w:pPr>
            <w:r w:rsidRPr="00DD25D0">
              <w:rPr>
                <w:b/>
                <w:sz w:val="20"/>
                <w:szCs w:val="20"/>
              </w:rPr>
              <w:t>SAM</w:t>
            </w:r>
          </w:p>
        </w:tc>
      </w:tr>
      <w:tr w:rsidR="00DD25D0" w:rsidTr="00DD25D0">
        <w:tc>
          <w:tcPr>
            <w:tcW w:w="1291" w:type="dxa"/>
            <w:vMerge/>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No. of deaths</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Case Fatality Rate</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No. of deaths</w:t>
            </w:r>
          </w:p>
        </w:tc>
        <w:tc>
          <w:tcPr>
            <w:tcW w:w="1234"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Case Fatality Rates</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No. of deaths</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Case Fatality Rates</w:t>
            </w:r>
          </w:p>
        </w:tc>
      </w:tr>
      <w:tr w:rsidR="00DD25D0" w:rsidTr="00DD25D0">
        <w:tc>
          <w:tcPr>
            <w:tcW w:w="1291"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3876FE">
            <w:pPr>
              <w:rPr>
                <w:sz w:val="20"/>
                <w:szCs w:val="20"/>
              </w:rPr>
            </w:pPr>
            <w:r w:rsidRPr="00DD25D0">
              <w:rPr>
                <w:sz w:val="20"/>
                <w:szCs w:val="20"/>
              </w:rPr>
              <w:t>2009/10</w:t>
            </w:r>
          </w:p>
        </w:tc>
        <w:tc>
          <w:tcPr>
            <w:tcW w:w="1234"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3 008</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7.1%</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2 769</w:t>
            </w:r>
          </w:p>
        </w:tc>
        <w:tc>
          <w:tcPr>
            <w:tcW w:w="1234"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6.6%</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2 345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19.3%</w:t>
            </w:r>
          </w:p>
        </w:tc>
      </w:tr>
      <w:tr w:rsidR="00DD25D0" w:rsidTr="00DD25D0">
        <w:tc>
          <w:tcPr>
            <w:tcW w:w="1291"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3876FE">
            <w:pPr>
              <w:rPr>
                <w:sz w:val="20"/>
                <w:szCs w:val="20"/>
              </w:rPr>
            </w:pPr>
            <w:r w:rsidRPr="00DD25D0">
              <w:rPr>
                <w:sz w:val="20"/>
                <w:szCs w:val="20"/>
              </w:rPr>
              <w:t>2010/11</w:t>
            </w:r>
          </w:p>
        </w:tc>
        <w:tc>
          <w:tcPr>
            <w:tcW w:w="1234"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2 558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7.0%</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2 287</w:t>
            </w:r>
          </w:p>
        </w:tc>
        <w:tc>
          <w:tcPr>
            <w:tcW w:w="1234"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2 114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16.4%</w:t>
            </w:r>
          </w:p>
        </w:tc>
      </w:tr>
      <w:tr w:rsidR="00DD25D0" w:rsidTr="00DD25D0">
        <w:tc>
          <w:tcPr>
            <w:tcW w:w="1291"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3876FE">
            <w:pPr>
              <w:rPr>
                <w:sz w:val="20"/>
                <w:szCs w:val="20"/>
              </w:rPr>
            </w:pPr>
            <w:r w:rsidRPr="00DD25D0">
              <w:rPr>
                <w:sz w:val="20"/>
                <w:szCs w:val="20"/>
              </w:rPr>
              <w:t>2011/12</w:t>
            </w:r>
          </w:p>
        </w:tc>
        <w:tc>
          <w:tcPr>
            <w:tcW w:w="1234"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1 550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1 796</w:t>
            </w:r>
          </w:p>
        </w:tc>
        <w:tc>
          <w:tcPr>
            <w:tcW w:w="1234"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1 605</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13.3%</w:t>
            </w:r>
          </w:p>
        </w:tc>
      </w:tr>
      <w:tr w:rsidR="00DD25D0" w:rsidTr="00DD25D0">
        <w:tc>
          <w:tcPr>
            <w:tcW w:w="1291"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3876FE">
            <w:pPr>
              <w:rPr>
                <w:sz w:val="20"/>
                <w:szCs w:val="20"/>
              </w:rPr>
            </w:pPr>
            <w:r w:rsidRPr="00DD25D0">
              <w:rPr>
                <w:sz w:val="20"/>
                <w:szCs w:val="20"/>
              </w:rPr>
              <w:t>2012/13</w:t>
            </w:r>
          </w:p>
        </w:tc>
        <w:tc>
          <w:tcPr>
            <w:tcW w:w="1234"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1 526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1 395</w:t>
            </w:r>
          </w:p>
        </w:tc>
        <w:tc>
          <w:tcPr>
            <w:tcW w:w="1234"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1 642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12.7%</w:t>
            </w:r>
          </w:p>
        </w:tc>
      </w:tr>
      <w:tr w:rsidR="00DD25D0" w:rsidTr="00DD25D0">
        <w:tc>
          <w:tcPr>
            <w:tcW w:w="1291"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3876FE">
            <w:pPr>
              <w:rPr>
                <w:sz w:val="20"/>
                <w:szCs w:val="20"/>
              </w:rPr>
            </w:pPr>
            <w:r w:rsidRPr="00DD25D0">
              <w:rPr>
                <w:sz w:val="20"/>
                <w:szCs w:val="20"/>
              </w:rPr>
              <w:t>2013/14</w:t>
            </w:r>
          </w:p>
        </w:tc>
        <w:tc>
          <w:tcPr>
            <w:tcW w:w="1234"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1 775</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1 532</w:t>
            </w:r>
          </w:p>
        </w:tc>
        <w:tc>
          <w:tcPr>
            <w:tcW w:w="1234"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1 672</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11.3%</w:t>
            </w:r>
          </w:p>
        </w:tc>
      </w:tr>
      <w:tr w:rsidR="00DD25D0" w:rsidTr="00DD25D0">
        <w:tc>
          <w:tcPr>
            <w:tcW w:w="1291"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3876FE">
            <w:pPr>
              <w:rPr>
                <w:sz w:val="20"/>
                <w:szCs w:val="20"/>
              </w:rPr>
            </w:pPr>
            <w:r w:rsidRPr="00DD25D0">
              <w:rPr>
                <w:sz w:val="20"/>
                <w:szCs w:val="20"/>
              </w:rPr>
              <w:t>2014/15</w:t>
            </w:r>
          </w:p>
        </w:tc>
        <w:tc>
          <w:tcPr>
            <w:tcW w:w="1234"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1 513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1 411</w:t>
            </w:r>
          </w:p>
        </w:tc>
        <w:tc>
          <w:tcPr>
            <w:tcW w:w="1234"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1 852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DD25D0" w:rsidRPr="00DD25D0" w:rsidRDefault="00DD25D0" w:rsidP="00DD25D0">
            <w:pPr>
              <w:jc w:val="center"/>
              <w:rPr>
                <w:sz w:val="20"/>
                <w:szCs w:val="20"/>
              </w:rPr>
            </w:pPr>
            <w:r w:rsidRPr="00DD25D0">
              <w:rPr>
                <w:sz w:val="20"/>
                <w:szCs w:val="20"/>
              </w:rPr>
              <w:t>11.6%</w:t>
            </w:r>
          </w:p>
        </w:tc>
      </w:tr>
    </w:tbl>
    <w:p w:rsidR="00DD25D0" w:rsidRPr="002454FE" w:rsidRDefault="00DD25D0" w:rsidP="00DD25D0">
      <w:pPr>
        <w:pStyle w:val="ListParagraph"/>
        <w:rPr>
          <w:sz w:val="24"/>
        </w:rPr>
      </w:pPr>
    </w:p>
    <w:p w:rsidR="00DD25D0" w:rsidRDefault="00DD25D0" w:rsidP="00DD25D0">
      <w:pPr>
        <w:pStyle w:val="ListParagraph"/>
        <w:numPr>
          <w:ilvl w:val="0"/>
          <w:numId w:val="39"/>
        </w:numPr>
        <w:ind w:left="2127" w:hanging="709"/>
        <w:jc w:val="both"/>
        <w:rPr>
          <w:sz w:val="24"/>
        </w:rPr>
      </w:pPr>
      <w:r w:rsidRPr="00E7186D">
        <w:rPr>
          <w:sz w:val="24"/>
        </w:rPr>
        <w:t xml:space="preserve">All public sector hospitals report </w:t>
      </w:r>
      <w:r>
        <w:rPr>
          <w:sz w:val="24"/>
        </w:rPr>
        <w:t xml:space="preserve">on </w:t>
      </w:r>
      <w:r w:rsidRPr="00E7186D">
        <w:rPr>
          <w:sz w:val="24"/>
        </w:rPr>
        <w:t>the number of deaths from these conditions</w:t>
      </w:r>
      <w:r>
        <w:rPr>
          <w:sz w:val="24"/>
        </w:rPr>
        <w:t xml:space="preserve"> amongst children </w:t>
      </w:r>
      <w:proofErr w:type="gramStart"/>
      <w:r>
        <w:rPr>
          <w:sz w:val="24"/>
        </w:rPr>
        <w:t>under</w:t>
      </w:r>
      <w:proofErr w:type="gramEnd"/>
      <w:r>
        <w:rPr>
          <w:sz w:val="24"/>
        </w:rPr>
        <w:t xml:space="preserve"> five years of age </w:t>
      </w:r>
      <w:r w:rsidRPr="00E7186D">
        <w:rPr>
          <w:sz w:val="24"/>
        </w:rPr>
        <w:t>on a monthly basis. The</w:t>
      </w:r>
      <w:r>
        <w:rPr>
          <w:sz w:val="24"/>
        </w:rPr>
        <w:t xml:space="preserve"> Department uses the</w:t>
      </w:r>
      <w:r w:rsidRPr="00E7186D">
        <w:rPr>
          <w:sz w:val="24"/>
        </w:rPr>
        <w:t xml:space="preserve">se numbers to identify </w:t>
      </w:r>
      <w:r>
        <w:rPr>
          <w:sz w:val="24"/>
        </w:rPr>
        <w:t xml:space="preserve">provinces, districts and </w:t>
      </w:r>
      <w:r w:rsidRPr="00E7186D">
        <w:rPr>
          <w:sz w:val="24"/>
        </w:rPr>
        <w:t xml:space="preserve">hospitals with a </w:t>
      </w:r>
      <w:r>
        <w:rPr>
          <w:sz w:val="24"/>
        </w:rPr>
        <w:t xml:space="preserve">high </w:t>
      </w:r>
      <w:r w:rsidRPr="00E7186D">
        <w:rPr>
          <w:sz w:val="24"/>
        </w:rPr>
        <w:t>number of deaths</w:t>
      </w:r>
      <w:r>
        <w:rPr>
          <w:sz w:val="24"/>
        </w:rPr>
        <w:t xml:space="preserve"> or high case fatality rates</w:t>
      </w:r>
      <w:r w:rsidRPr="00E7186D">
        <w:rPr>
          <w:sz w:val="24"/>
        </w:rPr>
        <w:t>, so that remedial action can be taken.</w:t>
      </w:r>
    </w:p>
    <w:p w:rsidR="00DD25D0" w:rsidRDefault="00DD25D0" w:rsidP="00DD25D0">
      <w:pPr>
        <w:pStyle w:val="ListParagraph"/>
        <w:ind w:left="1440"/>
        <w:jc w:val="both"/>
        <w:rPr>
          <w:sz w:val="24"/>
        </w:rPr>
      </w:pPr>
    </w:p>
    <w:p w:rsidR="00DD25D0" w:rsidRDefault="00DD25D0" w:rsidP="00DD25D0">
      <w:pPr>
        <w:ind w:left="1440"/>
        <w:jc w:val="both"/>
        <w:rPr>
          <w:sz w:val="24"/>
        </w:rPr>
      </w:pPr>
      <w:r w:rsidRPr="00253869">
        <w:rPr>
          <w:sz w:val="24"/>
        </w:rPr>
        <w:lastRenderedPageBreak/>
        <w:t xml:space="preserve">Deaths from these conditions were from all provinces during 2013/14 and 2014/15 are shown in </w:t>
      </w:r>
      <w:fldSimple w:instr=" REF _Ref434505070 \h  \* MERGEFORMAT ">
        <w:r w:rsidRPr="00DD25D0">
          <w:rPr>
            <w:sz w:val="24"/>
          </w:rPr>
          <w:t xml:space="preserve">Table </w:t>
        </w:r>
        <w:r w:rsidRPr="00DD25D0">
          <w:rPr>
            <w:noProof/>
            <w:sz w:val="24"/>
          </w:rPr>
          <w:t>2</w:t>
        </w:r>
      </w:fldSimple>
      <w:r w:rsidRPr="00253869">
        <w:rPr>
          <w:sz w:val="24"/>
        </w:rPr>
        <w:t>.</w:t>
      </w:r>
      <w:r>
        <w:rPr>
          <w:sz w:val="24"/>
        </w:rPr>
        <w:t xml:space="preserve"> Deaths from diarrhoea declined in all provinces except Limpopo and Mpumalanga, and deaths from pneumonia declined in all provinces except Gauteng. Deaths from SAM increased in a number of provinces, and in the country as a whole. As noted in the District Health Barometer, this may reflect better identification of cases, but needs to be carefully monitored. The Department is currently implementing strategies to reduce the number of deaths from SAM.</w:t>
      </w:r>
    </w:p>
    <w:p w:rsidR="00DD25D0" w:rsidRPr="00253869" w:rsidRDefault="00DD25D0" w:rsidP="00DD25D0">
      <w:pPr>
        <w:ind w:left="1440"/>
        <w:jc w:val="both"/>
        <w:rPr>
          <w:b/>
          <w:sz w:val="24"/>
        </w:rPr>
      </w:pPr>
    </w:p>
    <w:p w:rsidR="00DD25D0" w:rsidRPr="00A36FA2" w:rsidRDefault="00DD25D0" w:rsidP="00DD25D0">
      <w:pPr>
        <w:pStyle w:val="Caption"/>
        <w:keepNext/>
        <w:keepLines/>
        <w:ind w:left="1440"/>
        <w:jc w:val="both"/>
        <w:rPr>
          <w:sz w:val="20"/>
        </w:rPr>
      </w:pPr>
      <w:bookmarkStart w:id="2" w:name="_Ref434505070"/>
      <w:r w:rsidRPr="00A36FA2">
        <w:rPr>
          <w:sz w:val="20"/>
        </w:rPr>
        <w:t xml:space="preserve">Table </w:t>
      </w:r>
      <w:r w:rsidR="006C6455" w:rsidRPr="00A36FA2">
        <w:rPr>
          <w:sz w:val="20"/>
        </w:rPr>
        <w:fldChar w:fldCharType="begin"/>
      </w:r>
      <w:r w:rsidRPr="00A36FA2">
        <w:rPr>
          <w:sz w:val="20"/>
        </w:rPr>
        <w:instrText xml:space="preserve"> SEQ Table \* ARABIC </w:instrText>
      </w:r>
      <w:r w:rsidR="006C6455" w:rsidRPr="00A36FA2">
        <w:rPr>
          <w:sz w:val="20"/>
        </w:rPr>
        <w:fldChar w:fldCharType="separate"/>
      </w:r>
      <w:r>
        <w:rPr>
          <w:noProof/>
          <w:sz w:val="20"/>
        </w:rPr>
        <w:t>2</w:t>
      </w:r>
      <w:r w:rsidR="006C6455" w:rsidRPr="00A36FA2">
        <w:rPr>
          <w:sz w:val="20"/>
        </w:rPr>
        <w:fldChar w:fldCharType="end"/>
      </w:r>
      <w:bookmarkEnd w:id="2"/>
      <w:r w:rsidRPr="00A36FA2">
        <w:rPr>
          <w:sz w:val="20"/>
        </w:rPr>
        <w:t>: Deaths in children under-five years from diarrhoea, pneumonia and SAM by province for 2013/14 and 2014/15</w:t>
      </w:r>
      <w:r>
        <w:rPr>
          <w:rStyle w:val="FootnoteReference"/>
          <w:sz w:val="20"/>
        </w:rPr>
        <w:footnoteReference w:id="2"/>
      </w:r>
    </w:p>
    <w:p w:rsidR="00DD25D0" w:rsidRPr="008F62F6" w:rsidRDefault="00DD25D0" w:rsidP="00DD25D0">
      <w:pPr>
        <w:keepNext/>
        <w:keepLines/>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116"/>
        <w:gridCol w:w="1120"/>
        <w:gridCol w:w="1118"/>
        <w:gridCol w:w="1117"/>
        <w:gridCol w:w="1117"/>
        <w:gridCol w:w="1119"/>
      </w:tblGrid>
      <w:tr w:rsidR="00DD25D0" w:rsidRPr="000573CF" w:rsidTr="00DD25D0">
        <w:tc>
          <w:tcPr>
            <w:tcW w:w="1984" w:type="dxa"/>
            <w:vMerge w:val="restart"/>
          </w:tcPr>
          <w:p w:rsidR="00DD25D0" w:rsidRPr="00DD25D0" w:rsidRDefault="00DD25D0" w:rsidP="00DD25D0">
            <w:pPr>
              <w:keepNext/>
              <w:keepLines/>
              <w:rPr>
                <w:sz w:val="20"/>
                <w:szCs w:val="20"/>
              </w:rPr>
            </w:pPr>
          </w:p>
        </w:tc>
        <w:tc>
          <w:tcPr>
            <w:tcW w:w="6707" w:type="dxa"/>
            <w:gridSpan w:val="6"/>
            <w:tcBorders>
              <w:bottom w:val="nil"/>
            </w:tcBorders>
          </w:tcPr>
          <w:p w:rsidR="00DD25D0" w:rsidRPr="00DD25D0" w:rsidRDefault="00DD25D0" w:rsidP="00DD25D0">
            <w:pPr>
              <w:keepNext/>
              <w:keepLines/>
              <w:spacing w:line="276" w:lineRule="auto"/>
              <w:jc w:val="center"/>
              <w:rPr>
                <w:b/>
                <w:sz w:val="20"/>
                <w:szCs w:val="20"/>
              </w:rPr>
            </w:pPr>
            <w:r w:rsidRPr="00DD25D0">
              <w:rPr>
                <w:b/>
                <w:sz w:val="20"/>
                <w:szCs w:val="20"/>
              </w:rPr>
              <w:t>Deaths as a result of:</w:t>
            </w:r>
          </w:p>
        </w:tc>
      </w:tr>
      <w:tr w:rsidR="00DD25D0" w:rsidRPr="000573CF" w:rsidTr="00DD25D0">
        <w:tc>
          <w:tcPr>
            <w:tcW w:w="1984" w:type="dxa"/>
            <w:vMerge/>
          </w:tcPr>
          <w:p w:rsidR="00DD25D0" w:rsidRPr="00DD25D0" w:rsidRDefault="00DD25D0" w:rsidP="00DD25D0">
            <w:pPr>
              <w:keepNext/>
              <w:keepLines/>
              <w:rPr>
                <w:sz w:val="20"/>
                <w:szCs w:val="20"/>
              </w:rPr>
            </w:pPr>
          </w:p>
        </w:tc>
        <w:tc>
          <w:tcPr>
            <w:tcW w:w="2236" w:type="dxa"/>
            <w:gridSpan w:val="2"/>
            <w:tcBorders>
              <w:top w:val="nil"/>
              <w:right w:val="nil"/>
            </w:tcBorders>
          </w:tcPr>
          <w:p w:rsidR="00DD25D0" w:rsidRPr="00DD25D0" w:rsidRDefault="00DD25D0" w:rsidP="00DD25D0">
            <w:pPr>
              <w:keepNext/>
              <w:keepLines/>
              <w:spacing w:line="276" w:lineRule="auto"/>
              <w:jc w:val="center"/>
              <w:rPr>
                <w:b/>
                <w:sz w:val="20"/>
                <w:szCs w:val="20"/>
              </w:rPr>
            </w:pPr>
            <w:r w:rsidRPr="00DD25D0">
              <w:rPr>
                <w:b/>
                <w:sz w:val="20"/>
                <w:szCs w:val="20"/>
              </w:rPr>
              <w:t>Diarrhoea</w:t>
            </w:r>
          </w:p>
        </w:tc>
        <w:tc>
          <w:tcPr>
            <w:tcW w:w="2235" w:type="dxa"/>
            <w:gridSpan w:val="2"/>
            <w:tcBorders>
              <w:top w:val="nil"/>
              <w:left w:val="nil"/>
              <w:right w:val="nil"/>
            </w:tcBorders>
          </w:tcPr>
          <w:p w:rsidR="00DD25D0" w:rsidRPr="00DD25D0" w:rsidRDefault="00DD25D0" w:rsidP="00DD25D0">
            <w:pPr>
              <w:keepNext/>
              <w:keepLines/>
              <w:spacing w:line="276" w:lineRule="auto"/>
              <w:jc w:val="center"/>
              <w:rPr>
                <w:b/>
                <w:sz w:val="20"/>
                <w:szCs w:val="20"/>
              </w:rPr>
            </w:pPr>
            <w:r w:rsidRPr="00DD25D0">
              <w:rPr>
                <w:b/>
                <w:sz w:val="20"/>
                <w:szCs w:val="20"/>
              </w:rPr>
              <w:t>Pneumonia</w:t>
            </w:r>
          </w:p>
        </w:tc>
        <w:tc>
          <w:tcPr>
            <w:tcW w:w="2236" w:type="dxa"/>
            <w:gridSpan w:val="2"/>
            <w:tcBorders>
              <w:top w:val="nil"/>
              <w:left w:val="nil"/>
            </w:tcBorders>
            <w:vAlign w:val="center"/>
          </w:tcPr>
          <w:p w:rsidR="00DD25D0" w:rsidRPr="00DD25D0" w:rsidRDefault="00DD25D0" w:rsidP="00DD25D0">
            <w:pPr>
              <w:keepNext/>
              <w:keepLines/>
              <w:spacing w:line="276" w:lineRule="auto"/>
              <w:jc w:val="center"/>
              <w:rPr>
                <w:b/>
                <w:sz w:val="20"/>
                <w:szCs w:val="20"/>
              </w:rPr>
            </w:pPr>
            <w:r w:rsidRPr="00DD25D0">
              <w:rPr>
                <w:b/>
                <w:sz w:val="20"/>
                <w:szCs w:val="20"/>
              </w:rPr>
              <w:t>SAM</w:t>
            </w:r>
          </w:p>
        </w:tc>
      </w:tr>
      <w:tr w:rsidR="00DD25D0" w:rsidRPr="000C1973" w:rsidTr="00DD25D0">
        <w:trPr>
          <w:trHeight w:val="249"/>
        </w:trPr>
        <w:tc>
          <w:tcPr>
            <w:tcW w:w="1984" w:type="dxa"/>
            <w:vMerge/>
            <w:vAlign w:val="center"/>
          </w:tcPr>
          <w:p w:rsidR="00DD25D0" w:rsidRPr="00DD25D0" w:rsidRDefault="00DD25D0" w:rsidP="00DD25D0">
            <w:pPr>
              <w:keepNext/>
              <w:keepLines/>
              <w:rPr>
                <w:sz w:val="20"/>
                <w:szCs w:val="20"/>
              </w:rPr>
            </w:pPr>
          </w:p>
        </w:tc>
        <w:tc>
          <w:tcPr>
            <w:tcW w:w="1116" w:type="dxa"/>
            <w:vAlign w:val="center"/>
          </w:tcPr>
          <w:p w:rsidR="00DD25D0" w:rsidRPr="00DD25D0" w:rsidRDefault="00DD25D0" w:rsidP="00DD25D0">
            <w:pPr>
              <w:keepNext/>
              <w:keepLines/>
              <w:jc w:val="center"/>
              <w:rPr>
                <w:b/>
                <w:sz w:val="20"/>
                <w:szCs w:val="20"/>
              </w:rPr>
            </w:pPr>
            <w:r w:rsidRPr="00DD25D0">
              <w:rPr>
                <w:b/>
                <w:sz w:val="20"/>
                <w:szCs w:val="20"/>
              </w:rPr>
              <w:t>2013/14</w:t>
            </w:r>
          </w:p>
        </w:tc>
        <w:tc>
          <w:tcPr>
            <w:tcW w:w="1120" w:type="dxa"/>
            <w:vAlign w:val="center"/>
          </w:tcPr>
          <w:p w:rsidR="00DD25D0" w:rsidRPr="00DD25D0" w:rsidRDefault="00DD25D0" w:rsidP="00DD25D0">
            <w:pPr>
              <w:keepNext/>
              <w:keepLines/>
              <w:jc w:val="center"/>
              <w:rPr>
                <w:b/>
                <w:sz w:val="20"/>
                <w:szCs w:val="20"/>
              </w:rPr>
            </w:pPr>
            <w:r w:rsidRPr="00DD25D0">
              <w:rPr>
                <w:b/>
                <w:sz w:val="20"/>
                <w:szCs w:val="20"/>
              </w:rPr>
              <w:t>2014/15</w:t>
            </w:r>
          </w:p>
        </w:tc>
        <w:tc>
          <w:tcPr>
            <w:tcW w:w="1118" w:type="dxa"/>
            <w:vAlign w:val="center"/>
          </w:tcPr>
          <w:p w:rsidR="00DD25D0" w:rsidRPr="00DD25D0" w:rsidRDefault="00DD25D0" w:rsidP="00DD25D0">
            <w:pPr>
              <w:keepNext/>
              <w:keepLines/>
              <w:jc w:val="center"/>
              <w:rPr>
                <w:b/>
                <w:sz w:val="20"/>
                <w:szCs w:val="20"/>
              </w:rPr>
            </w:pPr>
            <w:r w:rsidRPr="00DD25D0">
              <w:rPr>
                <w:b/>
                <w:sz w:val="20"/>
                <w:szCs w:val="20"/>
              </w:rPr>
              <w:t>2013/14</w:t>
            </w:r>
          </w:p>
        </w:tc>
        <w:tc>
          <w:tcPr>
            <w:tcW w:w="1117" w:type="dxa"/>
            <w:vAlign w:val="center"/>
          </w:tcPr>
          <w:p w:rsidR="00DD25D0" w:rsidRPr="00DD25D0" w:rsidRDefault="00DD25D0" w:rsidP="00DD25D0">
            <w:pPr>
              <w:keepNext/>
              <w:keepLines/>
              <w:jc w:val="center"/>
              <w:rPr>
                <w:b/>
                <w:sz w:val="20"/>
                <w:szCs w:val="20"/>
              </w:rPr>
            </w:pPr>
            <w:r w:rsidRPr="00DD25D0">
              <w:rPr>
                <w:b/>
                <w:sz w:val="20"/>
                <w:szCs w:val="20"/>
              </w:rPr>
              <w:t>2014/15</w:t>
            </w:r>
          </w:p>
        </w:tc>
        <w:tc>
          <w:tcPr>
            <w:tcW w:w="1117" w:type="dxa"/>
            <w:vAlign w:val="center"/>
          </w:tcPr>
          <w:p w:rsidR="00DD25D0" w:rsidRPr="00DD25D0" w:rsidRDefault="00DD25D0" w:rsidP="00DD25D0">
            <w:pPr>
              <w:keepNext/>
              <w:keepLines/>
              <w:jc w:val="center"/>
              <w:rPr>
                <w:b/>
                <w:sz w:val="20"/>
                <w:szCs w:val="20"/>
              </w:rPr>
            </w:pPr>
            <w:r w:rsidRPr="00DD25D0">
              <w:rPr>
                <w:b/>
                <w:sz w:val="20"/>
                <w:szCs w:val="20"/>
              </w:rPr>
              <w:t>2013/14</w:t>
            </w:r>
          </w:p>
        </w:tc>
        <w:tc>
          <w:tcPr>
            <w:tcW w:w="1119" w:type="dxa"/>
            <w:vAlign w:val="center"/>
          </w:tcPr>
          <w:p w:rsidR="00DD25D0" w:rsidRPr="00DD25D0" w:rsidRDefault="00DD25D0" w:rsidP="00DD25D0">
            <w:pPr>
              <w:keepNext/>
              <w:keepLines/>
              <w:jc w:val="center"/>
              <w:rPr>
                <w:b/>
                <w:sz w:val="20"/>
                <w:szCs w:val="20"/>
              </w:rPr>
            </w:pPr>
            <w:r w:rsidRPr="00DD25D0">
              <w:rPr>
                <w:b/>
                <w:sz w:val="20"/>
                <w:szCs w:val="20"/>
              </w:rPr>
              <w:t>2014/15</w:t>
            </w:r>
          </w:p>
        </w:tc>
      </w:tr>
      <w:tr w:rsidR="00DD25D0" w:rsidRPr="000C1973" w:rsidTr="00DD25D0">
        <w:trPr>
          <w:trHeight w:val="259"/>
        </w:trPr>
        <w:tc>
          <w:tcPr>
            <w:tcW w:w="1984" w:type="dxa"/>
            <w:vAlign w:val="center"/>
          </w:tcPr>
          <w:p w:rsidR="00DD25D0" w:rsidRPr="00DD25D0" w:rsidRDefault="00DD25D0" w:rsidP="00DD25D0">
            <w:pPr>
              <w:keepNext/>
              <w:keepLines/>
              <w:rPr>
                <w:sz w:val="20"/>
                <w:szCs w:val="20"/>
              </w:rPr>
            </w:pPr>
            <w:r w:rsidRPr="00DD25D0">
              <w:rPr>
                <w:sz w:val="20"/>
                <w:szCs w:val="20"/>
              </w:rPr>
              <w:t>Eastern Cape</w:t>
            </w:r>
          </w:p>
        </w:tc>
        <w:tc>
          <w:tcPr>
            <w:tcW w:w="1116" w:type="dxa"/>
            <w:vAlign w:val="center"/>
          </w:tcPr>
          <w:p w:rsidR="00DD25D0" w:rsidRPr="00DD25D0" w:rsidRDefault="00DD25D0" w:rsidP="00DD25D0">
            <w:pPr>
              <w:keepNext/>
              <w:keepLines/>
              <w:jc w:val="center"/>
              <w:rPr>
                <w:sz w:val="20"/>
                <w:szCs w:val="20"/>
                <w:lang w:val="en-ZA"/>
              </w:rPr>
            </w:pPr>
            <w:r w:rsidRPr="00DD25D0">
              <w:rPr>
                <w:sz w:val="20"/>
                <w:szCs w:val="20"/>
              </w:rPr>
              <w:t>542</w:t>
            </w:r>
          </w:p>
        </w:tc>
        <w:tc>
          <w:tcPr>
            <w:tcW w:w="1120" w:type="dxa"/>
            <w:vAlign w:val="center"/>
          </w:tcPr>
          <w:p w:rsidR="00DD25D0" w:rsidRPr="00DD25D0" w:rsidRDefault="00DD25D0" w:rsidP="00DD25D0">
            <w:pPr>
              <w:keepNext/>
              <w:keepLines/>
              <w:jc w:val="center"/>
              <w:rPr>
                <w:sz w:val="20"/>
                <w:szCs w:val="20"/>
              </w:rPr>
            </w:pPr>
            <w:r w:rsidRPr="00DD25D0">
              <w:rPr>
                <w:sz w:val="20"/>
                <w:szCs w:val="20"/>
              </w:rPr>
              <w:t>351</w:t>
            </w:r>
          </w:p>
        </w:tc>
        <w:tc>
          <w:tcPr>
            <w:tcW w:w="1118" w:type="dxa"/>
            <w:vAlign w:val="center"/>
          </w:tcPr>
          <w:p w:rsidR="00DD25D0" w:rsidRPr="00DD25D0" w:rsidRDefault="00DD25D0" w:rsidP="00DD25D0">
            <w:pPr>
              <w:keepNext/>
              <w:keepLines/>
              <w:jc w:val="center"/>
              <w:rPr>
                <w:sz w:val="20"/>
                <w:szCs w:val="20"/>
                <w:lang w:val="en-ZA"/>
              </w:rPr>
            </w:pPr>
            <w:r w:rsidRPr="00DD25D0">
              <w:rPr>
                <w:sz w:val="20"/>
                <w:szCs w:val="20"/>
              </w:rPr>
              <w:t>322</w:t>
            </w:r>
          </w:p>
        </w:tc>
        <w:tc>
          <w:tcPr>
            <w:tcW w:w="1117" w:type="dxa"/>
            <w:vAlign w:val="center"/>
          </w:tcPr>
          <w:p w:rsidR="00DD25D0" w:rsidRPr="00DD25D0" w:rsidRDefault="00DD25D0" w:rsidP="00DD25D0">
            <w:pPr>
              <w:keepNext/>
              <w:keepLines/>
              <w:jc w:val="center"/>
              <w:rPr>
                <w:sz w:val="20"/>
                <w:szCs w:val="20"/>
              </w:rPr>
            </w:pPr>
            <w:r w:rsidRPr="00DD25D0">
              <w:rPr>
                <w:sz w:val="20"/>
                <w:szCs w:val="20"/>
              </w:rPr>
              <w:t>274</w:t>
            </w:r>
          </w:p>
        </w:tc>
        <w:tc>
          <w:tcPr>
            <w:tcW w:w="1117" w:type="dxa"/>
            <w:vAlign w:val="center"/>
          </w:tcPr>
          <w:p w:rsidR="00DD25D0" w:rsidRPr="00DD25D0" w:rsidRDefault="00DD25D0" w:rsidP="00DD25D0">
            <w:pPr>
              <w:keepNext/>
              <w:keepLines/>
              <w:jc w:val="center"/>
              <w:rPr>
                <w:sz w:val="20"/>
                <w:szCs w:val="20"/>
                <w:lang w:val="en-ZA"/>
              </w:rPr>
            </w:pPr>
            <w:r w:rsidRPr="00DD25D0">
              <w:rPr>
                <w:sz w:val="20"/>
                <w:szCs w:val="20"/>
              </w:rPr>
              <w:t>356</w:t>
            </w:r>
          </w:p>
        </w:tc>
        <w:tc>
          <w:tcPr>
            <w:tcW w:w="1119" w:type="dxa"/>
            <w:vAlign w:val="center"/>
          </w:tcPr>
          <w:p w:rsidR="00DD25D0" w:rsidRPr="00DD25D0" w:rsidRDefault="00DD25D0" w:rsidP="00DD25D0">
            <w:pPr>
              <w:keepNext/>
              <w:keepLines/>
              <w:jc w:val="center"/>
              <w:rPr>
                <w:sz w:val="20"/>
                <w:szCs w:val="20"/>
              </w:rPr>
            </w:pPr>
            <w:r w:rsidRPr="00DD25D0">
              <w:rPr>
                <w:sz w:val="20"/>
                <w:szCs w:val="20"/>
              </w:rPr>
              <w:t>339</w:t>
            </w:r>
          </w:p>
        </w:tc>
      </w:tr>
      <w:tr w:rsidR="00DD25D0" w:rsidRPr="000C1973" w:rsidTr="00DD25D0">
        <w:trPr>
          <w:trHeight w:val="259"/>
        </w:trPr>
        <w:tc>
          <w:tcPr>
            <w:tcW w:w="1984" w:type="dxa"/>
            <w:vAlign w:val="center"/>
          </w:tcPr>
          <w:p w:rsidR="00DD25D0" w:rsidRPr="00DD25D0" w:rsidRDefault="00DD25D0" w:rsidP="00DD25D0">
            <w:pPr>
              <w:keepNext/>
              <w:keepLines/>
              <w:rPr>
                <w:sz w:val="20"/>
                <w:szCs w:val="20"/>
              </w:rPr>
            </w:pPr>
            <w:r w:rsidRPr="00DD25D0">
              <w:rPr>
                <w:sz w:val="20"/>
                <w:szCs w:val="20"/>
              </w:rPr>
              <w:t>Free State</w:t>
            </w:r>
          </w:p>
        </w:tc>
        <w:tc>
          <w:tcPr>
            <w:tcW w:w="1116" w:type="dxa"/>
            <w:vAlign w:val="center"/>
          </w:tcPr>
          <w:p w:rsidR="00DD25D0" w:rsidRPr="00DD25D0" w:rsidRDefault="00DD25D0" w:rsidP="00DD25D0">
            <w:pPr>
              <w:keepNext/>
              <w:keepLines/>
              <w:jc w:val="center"/>
              <w:rPr>
                <w:sz w:val="20"/>
                <w:szCs w:val="20"/>
                <w:lang w:val="en-ZA"/>
              </w:rPr>
            </w:pPr>
            <w:r w:rsidRPr="00DD25D0">
              <w:rPr>
                <w:sz w:val="20"/>
                <w:szCs w:val="20"/>
              </w:rPr>
              <w:t>111</w:t>
            </w:r>
          </w:p>
        </w:tc>
        <w:tc>
          <w:tcPr>
            <w:tcW w:w="1120" w:type="dxa"/>
            <w:vAlign w:val="center"/>
          </w:tcPr>
          <w:p w:rsidR="00DD25D0" w:rsidRPr="00DD25D0" w:rsidRDefault="00DD25D0" w:rsidP="00DD25D0">
            <w:pPr>
              <w:keepNext/>
              <w:keepLines/>
              <w:jc w:val="center"/>
              <w:rPr>
                <w:sz w:val="20"/>
                <w:szCs w:val="20"/>
              </w:rPr>
            </w:pPr>
            <w:r w:rsidRPr="00DD25D0">
              <w:rPr>
                <w:sz w:val="20"/>
                <w:szCs w:val="20"/>
              </w:rPr>
              <w:t>100</w:t>
            </w:r>
          </w:p>
        </w:tc>
        <w:tc>
          <w:tcPr>
            <w:tcW w:w="1118" w:type="dxa"/>
            <w:vAlign w:val="center"/>
          </w:tcPr>
          <w:p w:rsidR="00DD25D0" w:rsidRPr="00DD25D0" w:rsidRDefault="00DD25D0" w:rsidP="00DD25D0">
            <w:pPr>
              <w:keepNext/>
              <w:keepLines/>
              <w:jc w:val="center"/>
              <w:rPr>
                <w:sz w:val="20"/>
                <w:szCs w:val="20"/>
                <w:lang w:val="en-ZA"/>
              </w:rPr>
            </w:pPr>
            <w:r w:rsidRPr="00DD25D0">
              <w:rPr>
                <w:sz w:val="20"/>
                <w:szCs w:val="20"/>
              </w:rPr>
              <w:t>84</w:t>
            </w:r>
          </w:p>
        </w:tc>
        <w:tc>
          <w:tcPr>
            <w:tcW w:w="1117" w:type="dxa"/>
            <w:vAlign w:val="center"/>
          </w:tcPr>
          <w:p w:rsidR="00DD25D0" w:rsidRPr="00DD25D0" w:rsidRDefault="00DD25D0" w:rsidP="00DD25D0">
            <w:pPr>
              <w:keepNext/>
              <w:keepLines/>
              <w:jc w:val="center"/>
              <w:rPr>
                <w:sz w:val="20"/>
                <w:szCs w:val="20"/>
              </w:rPr>
            </w:pPr>
            <w:r w:rsidRPr="00DD25D0">
              <w:rPr>
                <w:sz w:val="20"/>
                <w:szCs w:val="20"/>
              </w:rPr>
              <w:t>80</w:t>
            </w:r>
          </w:p>
        </w:tc>
        <w:tc>
          <w:tcPr>
            <w:tcW w:w="1117" w:type="dxa"/>
            <w:vAlign w:val="center"/>
          </w:tcPr>
          <w:p w:rsidR="00DD25D0" w:rsidRPr="00DD25D0" w:rsidRDefault="00DD25D0" w:rsidP="00DD25D0">
            <w:pPr>
              <w:keepNext/>
              <w:keepLines/>
              <w:jc w:val="center"/>
              <w:rPr>
                <w:sz w:val="20"/>
                <w:szCs w:val="20"/>
                <w:lang w:val="en-ZA"/>
              </w:rPr>
            </w:pPr>
            <w:r w:rsidRPr="00DD25D0">
              <w:rPr>
                <w:sz w:val="20"/>
                <w:szCs w:val="20"/>
              </w:rPr>
              <w:t>132</w:t>
            </w:r>
          </w:p>
        </w:tc>
        <w:tc>
          <w:tcPr>
            <w:tcW w:w="1119" w:type="dxa"/>
            <w:vAlign w:val="center"/>
          </w:tcPr>
          <w:p w:rsidR="00DD25D0" w:rsidRPr="00DD25D0" w:rsidRDefault="00DD25D0" w:rsidP="00DD25D0">
            <w:pPr>
              <w:keepNext/>
              <w:keepLines/>
              <w:jc w:val="center"/>
              <w:rPr>
                <w:sz w:val="20"/>
                <w:szCs w:val="20"/>
              </w:rPr>
            </w:pPr>
            <w:r w:rsidRPr="00DD25D0">
              <w:rPr>
                <w:sz w:val="20"/>
                <w:szCs w:val="20"/>
              </w:rPr>
              <w:t>148</w:t>
            </w:r>
          </w:p>
        </w:tc>
      </w:tr>
      <w:tr w:rsidR="00DD25D0" w:rsidRPr="000C1973" w:rsidTr="00DD25D0">
        <w:trPr>
          <w:trHeight w:val="259"/>
        </w:trPr>
        <w:tc>
          <w:tcPr>
            <w:tcW w:w="1984" w:type="dxa"/>
            <w:vAlign w:val="center"/>
          </w:tcPr>
          <w:p w:rsidR="00DD25D0" w:rsidRPr="00DD25D0" w:rsidRDefault="00DD25D0" w:rsidP="00DD25D0">
            <w:pPr>
              <w:keepNext/>
              <w:keepLines/>
              <w:rPr>
                <w:sz w:val="20"/>
                <w:szCs w:val="20"/>
              </w:rPr>
            </w:pPr>
            <w:r w:rsidRPr="00DD25D0">
              <w:rPr>
                <w:sz w:val="20"/>
                <w:szCs w:val="20"/>
              </w:rPr>
              <w:t>Gauteng</w:t>
            </w:r>
          </w:p>
        </w:tc>
        <w:tc>
          <w:tcPr>
            <w:tcW w:w="1116" w:type="dxa"/>
            <w:vAlign w:val="center"/>
          </w:tcPr>
          <w:p w:rsidR="00DD25D0" w:rsidRPr="00DD25D0" w:rsidRDefault="00DD25D0" w:rsidP="00DD25D0">
            <w:pPr>
              <w:keepNext/>
              <w:keepLines/>
              <w:jc w:val="center"/>
              <w:rPr>
                <w:sz w:val="20"/>
                <w:szCs w:val="20"/>
                <w:lang w:val="en-ZA"/>
              </w:rPr>
            </w:pPr>
            <w:r w:rsidRPr="00DD25D0">
              <w:rPr>
                <w:sz w:val="20"/>
                <w:szCs w:val="20"/>
              </w:rPr>
              <w:t>109</w:t>
            </w:r>
          </w:p>
        </w:tc>
        <w:tc>
          <w:tcPr>
            <w:tcW w:w="1120" w:type="dxa"/>
            <w:vAlign w:val="center"/>
          </w:tcPr>
          <w:p w:rsidR="00DD25D0" w:rsidRPr="00DD25D0" w:rsidRDefault="00DD25D0" w:rsidP="00DD25D0">
            <w:pPr>
              <w:keepNext/>
              <w:keepLines/>
              <w:jc w:val="center"/>
              <w:rPr>
                <w:sz w:val="20"/>
                <w:szCs w:val="20"/>
              </w:rPr>
            </w:pPr>
            <w:r w:rsidRPr="00DD25D0">
              <w:rPr>
                <w:sz w:val="20"/>
                <w:szCs w:val="20"/>
              </w:rPr>
              <w:t>108</w:t>
            </w:r>
          </w:p>
        </w:tc>
        <w:tc>
          <w:tcPr>
            <w:tcW w:w="1118" w:type="dxa"/>
            <w:vAlign w:val="center"/>
          </w:tcPr>
          <w:p w:rsidR="00DD25D0" w:rsidRPr="00DD25D0" w:rsidRDefault="00DD25D0" w:rsidP="00DD25D0">
            <w:pPr>
              <w:keepNext/>
              <w:keepLines/>
              <w:jc w:val="center"/>
              <w:rPr>
                <w:sz w:val="20"/>
                <w:szCs w:val="20"/>
                <w:lang w:val="en-ZA"/>
              </w:rPr>
            </w:pPr>
            <w:r w:rsidRPr="00DD25D0">
              <w:rPr>
                <w:sz w:val="20"/>
                <w:szCs w:val="20"/>
              </w:rPr>
              <w:t>138</w:t>
            </w:r>
          </w:p>
        </w:tc>
        <w:tc>
          <w:tcPr>
            <w:tcW w:w="1117" w:type="dxa"/>
            <w:vAlign w:val="center"/>
          </w:tcPr>
          <w:p w:rsidR="00DD25D0" w:rsidRPr="00DD25D0" w:rsidRDefault="00DD25D0" w:rsidP="00DD25D0">
            <w:pPr>
              <w:keepNext/>
              <w:keepLines/>
              <w:jc w:val="center"/>
              <w:rPr>
                <w:sz w:val="20"/>
                <w:szCs w:val="20"/>
              </w:rPr>
            </w:pPr>
            <w:r w:rsidRPr="00DD25D0">
              <w:rPr>
                <w:sz w:val="20"/>
                <w:szCs w:val="20"/>
              </w:rPr>
              <w:t>151</w:t>
            </w:r>
          </w:p>
        </w:tc>
        <w:tc>
          <w:tcPr>
            <w:tcW w:w="1117" w:type="dxa"/>
            <w:vAlign w:val="center"/>
          </w:tcPr>
          <w:p w:rsidR="00DD25D0" w:rsidRPr="00DD25D0" w:rsidRDefault="00DD25D0" w:rsidP="00DD25D0">
            <w:pPr>
              <w:keepNext/>
              <w:keepLines/>
              <w:jc w:val="center"/>
              <w:rPr>
                <w:sz w:val="20"/>
                <w:szCs w:val="20"/>
                <w:lang w:val="en-ZA"/>
              </w:rPr>
            </w:pPr>
            <w:r w:rsidRPr="00DD25D0">
              <w:rPr>
                <w:sz w:val="20"/>
                <w:szCs w:val="20"/>
              </w:rPr>
              <w:t>82</w:t>
            </w:r>
          </w:p>
        </w:tc>
        <w:tc>
          <w:tcPr>
            <w:tcW w:w="1119" w:type="dxa"/>
            <w:vAlign w:val="center"/>
          </w:tcPr>
          <w:p w:rsidR="00DD25D0" w:rsidRPr="00DD25D0" w:rsidRDefault="00DD25D0" w:rsidP="00DD25D0">
            <w:pPr>
              <w:keepNext/>
              <w:keepLines/>
              <w:jc w:val="center"/>
              <w:rPr>
                <w:sz w:val="20"/>
                <w:szCs w:val="20"/>
              </w:rPr>
            </w:pPr>
            <w:r w:rsidRPr="00DD25D0">
              <w:rPr>
                <w:sz w:val="20"/>
                <w:szCs w:val="20"/>
              </w:rPr>
              <w:t>126</w:t>
            </w:r>
          </w:p>
        </w:tc>
      </w:tr>
      <w:tr w:rsidR="00DD25D0" w:rsidRPr="000C1973" w:rsidTr="00DD25D0">
        <w:trPr>
          <w:trHeight w:val="259"/>
        </w:trPr>
        <w:tc>
          <w:tcPr>
            <w:tcW w:w="1984" w:type="dxa"/>
            <w:vAlign w:val="center"/>
          </w:tcPr>
          <w:p w:rsidR="00DD25D0" w:rsidRPr="00DD25D0" w:rsidRDefault="00DD25D0" w:rsidP="00DD25D0">
            <w:pPr>
              <w:keepNext/>
              <w:keepLines/>
              <w:rPr>
                <w:sz w:val="20"/>
                <w:szCs w:val="20"/>
              </w:rPr>
            </w:pPr>
            <w:r w:rsidRPr="00DD25D0">
              <w:rPr>
                <w:sz w:val="20"/>
                <w:szCs w:val="20"/>
              </w:rPr>
              <w:t>KwaZulu-Natal</w:t>
            </w:r>
          </w:p>
        </w:tc>
        <w:tc>
          <w:tcPr>
            <w:tcW w:w="1116" w:type="dxa"/>
            <w:vAlign w:val="center"/>
          </w:tcPr>
          <w:p w:rsidR="00DD25D0" w:rsidRPr="00DD25D0" w:rsidRDefault="00DD25D0" w:rsidP="00DD25D0">
            <w:pPr>
              <w:keepNext/>
              <w:keepLines/>
              <w:jc w:val="center"/>
              <w:rPr>
                <w:sz w:val="20"/>
                <w:szCs w:val="20"/>
                <w:lang w:val="en-ZA"/>
              </w:rPr>
            </w:pPr>
            <w:r w:rsidRPr="00DD25D0">
              <w:rPr>
                <w:sz w:val="20"/>
                <w:szCs w:val="20"/>
              </w:rPr>
              <w:t>387</w:t>
            </w:r>
          </w:p>
        </w:tc>
        <w:tc>
          <w:tcPr>
            <w:tcW w:w="1120" w:type="dxa"/>
            <w:vAlign w:val="center"/>
          </w:tcPr>
          <w:p w:rsidR="00DD25D0" w:rsidRPr="00DD25D0" w:rsidRDefault="00DD25D0" w:rsidP="00DD25D0">
            <w:pPr>
              <w:keepNext/>
              <w:keepLines/>
              <w:jc w:val="center"/>
              <w:rPr>
                <w:sz w:val="20"/>
                <w:szCs w:val="20"/>
              </w:rPr>
            </w:pPr>
            <w:r w:rsidRPr="00DD25D0">
              <w:rPr>
                <w:sz w:val="20"/>
                <w:szCs w:val="20"/>
              </w:rPr>
              <w:t>347</w:t>
            </w:r>
          </w:p>
        </w:tc>
        <w:tc>
          <w:tcPr>
            <w:tcW w:w="1118" w:type="dxa"/>
            <w:vAlign w:val="center"/>
          </w:tcPr>
          <w:p w:rsidR="00DD25D0" w:rsidRPr="00DD25D0" w:rsidRDefault="00DD25D0" w:rsidP="00DD25D0">
            <w:pPr>
              <w:keepNext/>
              <w:keepLines/>
              <w:jc w:val="center"/>
              <w:rPr>
                <w:sz w:val="20"/>
                <w:szCs w:val="20"/>
                <w:lang w:val="en-ZA"/>
              </w:rPr>
            </w:pPr>
            <w:r w:rsidRPr="00DD25D0">
              <w:rPr>
                <w:sz w:val="20"/>
                <w:szCs w:val="20"/>
              </w:rPr>
              <w:t>305</w:t>
            </w:r>
          </w:p>
        </w:tc>
        <w:tc>
          <w:tcPr>
            <w:tcW w:w="1117" w:type="dxa"/>
            <w:vAlign w:val="center"/>
          </w:tcPr>
          <w:p w:rsidR="00DD25D0" w:rsidRPr="00DD25D0" w:rsidRDefault="00DD25D0" w:rsidP="00DD25D0">
            <w:pPr>
              <w:keepNext/>
              <w:keepLines/>
              <w:jc w:val="center"/>
              <w:rPr>
                <w:sz w:val="20"/>
                <w:szCs w:val="20"/>
              </w:rPr>
            </w:pPr>
            <w:r w:rsidRPr="00DD25D0">
              <w:rPr>
                <w:sz w:val="20"/>
                <w:szCs w:val="20"/>
              </w:rPr>
              <w:t>300</w:t>
            </w:r>
          </w:p>
        </w:tc>
        <w:tc>
          <w:tcPr>
            <w:tcW w:w="1117" w:type="dxa"/>
            <w:vAlign w:val="center"/>
          </w:tcPr>
          <w:p w:rsidR="00DD25D0" w:rsidRPr="00DD25D0" w:rsidRDefault="00DD25D0" w:rsidP="00DD25D0">
            <w:pPr>
              <w:keepNext/>
              <w:keepLines/>
              <w:jc w:val="center"/>
              <w:rPr>
                <w:sz w:val="20"/>
                <w:szCs w:val="20"/>
                <w:lang w:val="en-ZA"/>
              </w:rPr>
            </w:pPr>
            <w:r w:rsidRPr="00DD25D0">
              <w:rPr>
                <w:sz w:val="20"/>
                <w:szCs w:val="20"/>
              </w:rPr>
              <w:t>337</w:t>
            </w:r>
          </w:p>
        </w:tc>
        <w:tc>
          <w:tcPr>
            <w:tcW w:w="1119" w:type="dxa"/>
            <w:vAlign w:val="center"/>
          </w:tcPr>
          <w:p w:rsidR="00DD25D0" w:rsidRPr="00DD25D0" w:rsidRDefault="00DD25D0" w:rsidP="00DD25D0">
            <w:pPr>
              <w:keepNext/>
              <w:keepLines/>
              <w:jc w:val="center"/>
              <w:rPr>
                <w:sz w:val="20"/>
                <w:szCs w:val="20"/>
              </w:rPr>
            </w:pPr>
            <w:r w:rsidRPr="00DD25D0">
              <w:rPr>
                <w:sz w:val="20"/>
                <w:szCs w:val="20"/>
              </w:rPr>
              <w:t>405</w:t>
            </w:r>
          </w:p>
        </w:tc>
      </w:tr>
      <w:tr w:rsidR="00DD25D0" w:rsidRPr="000C1973" w:rsidTr="00DD25D0">
        <w:trPr>
          <w:trHeight w:val="259"/>
        </w:trPr>
        <w:tc>
          <w:tcPr>
            <w:tcW w:w="1984" w:type="dxa"/>
            <w:vAlign w:val="center"/>
          </w:tcPr>
          <w:p w:rsidR="00DD25D0" w:rsidRPr="00DD25D0" w:rsidRDefault="00DD25D0" w:rsidP="00DD25D0">
            <w:pPr>
              <w:keepNext/>
              <w:keepLines/>
              <w:rPr>
                <w:sz w:val="20"/>
                <w:szCs w:val="20"/>
              </w:rPr>
            </w:pPr>
            <w:r w:rsidRPr="00DD25D0">
              <w:rPr>
                <w:sz w:val="20"/>
                <w:szCs w:val="20"/>
              </w:rPr>
              <w:t>Limpopo</w:t>
            </w:r>
          </w:p>
        </w:tc>
        <w:tc>
          <w:tcPr>
            <w:tcW w:w="1116" w:type="dxa"/>
            <w:vAlign w:val="center"/>
          </w:tcPr>
          <w:p w:rsidR="00DD25D0" w:rsidRPr="00DD25D0" w:rsidRDefault="00DD25D0" w:rsidP="00DD25D0">
            <w:pPr>
              <w:keepNext/>
              <w:keepLines/>
              <w:jc w:val="center"/>
              <w:rPr>
                <w:sz w:val="20"/>
                <w:szCs w:val="20"/>
                <w:lang w:val="en-ZA"/>
              </w:rPr>
            </w:pPr>
            <w:r w:rsidRPr="00DD25D0">
              <w:rPr>
                <w:sz w:val="20"/>
                <w:szCs w:val="20"/>
              </w:rPr>
              <w:t>239</w:t>
            </w:r>
          </w:p>
        </w:tc>
        <w:tc>
          <w:tcPr>
            <w:tcW w:w="1120" w:type="dxa"/>
            <w:vAlign w:val="center"/>
          </w:tcPr>
          <w:p w:rsidR="00DD25D0" w:rsidRPr="00DD25D0" w:rsidRDefault="00DD25D0" w:rsidP="00DD25D0">
            <w:pPr>
              <w:keepNext/>
              <w:keepLines/>
              <w:jc w:val="center"/>
              <w:rPr>
                <w:sz w:val="20"/>
                <w:szCs w:val="20"/>
              </w:rPr>
            </w:pPr>
            <w:r w:rsidRPr="00DD25D0">
              <w:rPr>
                <w:sz w:val="20"/>
                <w:szCs w:val="20"/>
              </w:rPr>
              <w:t>246</w:t>
            </w:r>
          </w:p>
        </w:tc>
        <w:tc>
          <w:tcPr>
            <w:tcW w:w="1118" w:type="dxa"/>
            <w:vAlign w:val="center"/>
          </w:tcPr>
          <w:p w:rsidR="00DD25D0" w:rsidRPr="00DD25D0" w:rsidRDefault="00DD25D0" w:rsidP="00DD25D0">
            <w:pPr>
              <w:keepNext/>
              <w:keepLines/>
              <w:jc w:val="center"/>
              <w:rPr>
                <w:sz w:val="20"/>
                <w:szCs w:val="20"/>
                <w:lang w:val="en-ZA"/>
              </w:rPr>
            </w:pPr>
            <w:r w:rsidRPr="00DD25D0">
              <w:rPr>
                <w:sz w:val="20"/>
                <w:szCs w:val="20"/>
              </w:rPr>
              <w:t>283</w:t>
            </w:r>
          </w:p>
        </w:tc>
        <w:tc>
          <w:tcPr>
            <w:tcW w:w="1117" w:type="dxa"/>
            <w:vAlign w:val="center"/>
          </w:tcPr>
          <w:p w:rsidR="00DD25D0" w:rsidRPr="00DD25D0" w:rsidRDefault="00DD25D0" w:rsidP="00DD25D0">
            <w:pPr>
              <w:keepNext/>
              <w:keepLines/>
              <w:jc w:val="center"/>
              <w:rPr>
                <w:sz w:val="20"/>
                <w:szCs w:val="20"/>
              </w:rPr>
            </w:pPr>
            <w:r w:rsidRPr="00DD25D0">
              <w:rPr>
                <w:sz w:val="20"/>
                <w:szCs w:val="20"/>
              </w:rPr>
              <w:t>232</w:t>
            </w:r>
          </w:p>
        </w:tc>
        <w:tc>
          <w:tcPr>
            <w:tcW w:w="1117" w:type="dxa"/>
            <w:vAlign w:val="center"/>
          </w:tcPr>
          <w:p w:rsidR="00DD25D0" w:rsidRPr="00DD25D0" w:rsidRDefault="00DD25D0" w:rsidP="00DD25D0">
            <w:pPr>
              <w:keepNext/>
              <w:keepLines/>
              <w:jc w:val="center"/>
              <w:rPr>
                <w:sz w:val="20"/>
                <w:szCs w:val="20"/>
                <w:lang w:val="en-ZA"/>
              </w:rPr>
            </w:pPr>
            <w:r w:rsidRPr="00DD25D0">
              <w:rPr>
                <w:sz w:val="20"/>
                <w:szCs w:val="20"/>
              </w:rPr>
              <w:t>288</w:t>
            </w:r>
          </w:p>
        </w:tc>
        <w:tc>
          <w:tcPr>
            <w:tcW w:w="1119" w:type="dxa"/>
            <w:vAlign w:val="center"/>
          </w:tcPr>
          <w:p w:rsidR="00DD25D0" w:rsidRPr="00DD25D0" w:rsidRDefault="00DD25D0" w:rsidP="00DD25D0">
            <w:pPr>
              <w:keepNext/>
              <w:keepLines/>
              <w:jc w:val="center"/>
              <w:rPr>
                <w:sz w:val="20"/>
                <w:szCs w:val="20"/>
              </w:rPr>
            </w:pPr>
            <w:r w:rsidRPr="00DD25D0">
              <w:rPr>
                <w:sz w:val="20"/>
                <w:szCs w:val="20"/>
              </w:rPr>
              <w:t>291</w:t>
            </w:r>
          </w:p>
        </w:tc>
      </w:tr>
      <w:tr w:rsidR="00DD25D0" w:rsidRPr="000C1973" w:rsidTr="00DD25D0">
        <w:trPr>
          <w:trHeight w:val="259"/>
        </w:trPr>
        <w:tc>
          <w:tcPr>
            <w:tcW w:w="1984" w:type="dxa"/>
            <w:vAlign w:val="center"/>
          </w:tcPr>
          <w:p w:rsidR="00DD25D0" w:rsidRPr="00DD25D0" w:rsidRDefault="00DD25D0" w:rsidP="00DD25D0">
            <w:pPr>
              <w:keepNext/>
              <w:keepLines/>
              <w:rPr>
                <w:sz w:val="20"/>
                <w:szCs w:val="20"/>
              </w:rPr>
            </w:pPr>
            <w:r w:rsidRPr="00DD25D0">
              <w:rPr>
                <w:sz w:val="20"/>
                <w:szCs w:val="20"/>
              </w:rPr>
              <w:t>Mpumalanga</w:t>
            </w:r>
          </w:p>
        </w:tc>
        <w:tc>
          <w:tcPr>
            <w:tcW w:w="1116" w:type="dxa"/>
            <w:vAlign w:val="center"/>
          </w:tcPr>
          <w:p w:rsidR="00DD25D0" w:rsidRPr="00DD25D0" w:rsidRDefault="00DD25D0" w:rsidP="00DD25D0">
            <w:pPr>
              <w:keepNext/>
              <w:keepLines/>
              <w:jc w:val="center"/>
              <w:rPr>
                <w:sz w:val="20"/>
                <w:szCs w:val="20"/>
                <w:lang w:val="en-ZA"/>
              </w:rPr>
            </w:pPr>
            <w:r w:rsidRPr="00DD25D0">
              <w:rPr>
                <w:sz w:val="20"/>
                <w:szCs w:val="20"/>
              </w:rPr>
              <w:t>163</w:t>
            </w:r>
          </w:p>
        </w:tc>
        <w:tc>
          <w:tcPr>
            <w:tcW w:w="1120" w:type="dxa"/>
            <w:vAlign w:val="center"/>
          </w:tcPr>
          <w:p w:rsidR="00DD25D0" w:rsidRPr="00DD25D0" w:rsidRDefault="00DD25D0" w:rsidP="00DD25D0">
            <w:pPr>
              <w:keepNext/>
              <w:keepLines/>
              <w:jc w:val="center"/>
              <w:rPr>
                <w:sz w:val="20"/>
                <w:szCs w:val="20"/>
              </w:rPr>
            </w:pPr>
            <w:r w:rsidRPr="00DD25D0">
              <w:rPr>
                <w:sz w:val="20"/>
                <w:szCs w:val="20"/>
              </w:rPr>
              <w:t>189</w:t>
            </w:r>
          </w:p>
        </w:tc>
        <w:tc>
          <w:tcPr>
            <w:tcW w:w="1118" w:type="dxa"/>
            <w:vAlign w:val="center"/>
          </w:tcPr>
          <w:p w:rsidR="00DD25D0" w:rsidRPr="00DD25D0" w:rsidRDefault="00DD25D0" w:rsidP="00DD25D0">
            <w:pPr>
              <w:keepNext/>
              <w:keepLines/>
              <w:jc w:val="center"/>
              <w:rPr>
                <w:sz w:val="20"/>
                <w:szCs w:val="20"/>
                <w:lang w:val="en-ZA"/>
              </w:rPr>
            </w:pPr>
            <w:r w:rsidRPr="00DD25D0">
              <w:rPr>
                <w:sz w:val="20"/>
                <w:szCs w:val="20"/>
              </w:rPr>
              <w:t>201</w:t>
            </w:r>
          </w:p>
        </w:tc>
        <w:tc>
          <w:tcPr>
            <w:tcW w:w="1117" w:type="dxa"/>
            <w:vAlign w:val="center"/>
          </w:tcPr>
          <w:p w:rsidR="00DD25D0" w:rsidRPr="00DD25D0" w:rsidRDefault="00DD25D0" w:rsidP="00DD25D0">
            <w:pPr>
              <w:keepNext/>
              <w:keepLines/>
              <w:jc w:val="center"/>
              <w:rPr>
                <w:sz w:val="20"/>
                <w:szCs w:val="20"/>
              </w:rPr>
            </w:pPr>
            <w:r w:rsidRPr="00DD25D0">
              <w:rPr>
                <w:sz w:val="20"/>
                <w:szCs w:val="20"/>
              </w:rPr>
              <w:t>198</w:t>
            </w:r>
          </w:p>
        </w:tc>
        <w:tc>
          <w:tcPr>
            <w:tcW w:w="1117" w:type="dxa"/>
            <w:vAlign w:val="center"/>
          </w:tcPr>
          <w:p w:rsidR="00DD25D0" w:rsidRPr="00DD25D0" w:rsidRDefault="00DD25D0" w:rsidP="00DD25D0">
            <w:pPr>
              <w:keepNext/>
              <w:keepLines/>
              <w:jc w:val="center"/>
              <w:rPr>
                <w:sz w:val="20"/>
                <w:szCs w:val="20"/>
                <w:lang w:val="en-ZA"/>
              </w:rPr>
            </w:pPr>
            <w:r w:rsidRPr="00DD25D0">
              <w:rPr>
                <w:sz w:val="20"/>
                <w:szCs w:val="20"/>
              </w:rPr>
              <w:t>144</w:t>
            </w:r>
          </w:p>
        </w:tc>
        <w:tc>
          <w:tcPr>
            <w:tcW w:w="1119" w:type="dxa"/>
            <w:vAlign w:val="center"/>
          </w:tcPr>
          <w:p w:rsidR="00DD25D0" w:rsidRPr="00DD25D0" w:rsidRDefault="00DD25D0" w:rsidP="00DD25D0">
            <w:pPr>
              <w:keepNext/>
              <w:keepLines/>
              <w:jc w:val="center"/>
              <w:rPr>
                <w:sz w:val="20"/>
                <w:szCs w:val="20"/>
              </w:rPr>
            </w:pPr>
            <w:r w:rsidRPr="00DD25D0">
              <w:rPr>
                <w:sz w:val="20"/>
                <w:szCs w:val="20"/>
              </w:rPr>
              <w:t>233</w:t>
            </w:r>
          </w:p>
        </w:tc>
      </w:tr>
      <w:tr w:rsidR="00DD25D0" w:rsidRPr="000C1973" w:rsidTr="00DD25D0">
        <w:trPr>
          <w:trHeight w:val="259"/>
        </w:trPr>
        <w:tc>
          <w:tcPr>
            <w:tcW w:w="1984" w:type="dxa"/>
            <w:vAlign w:val="center"/>
          </w:tcPr>
          <w:p w:rsidR="00DD25D0" w:rsidRPr="00DD25D0" w:rsidRDefault="00DD25D0" w:rsidP="00DD25D0">
            <w:pPr>
              <w:keepNext/>
              <w:keepLines/>
              <w:rPr>
                <w:sz w:val="20"/>
                <w:szCs w:val="20"/>
              </w:rPr>
            </w:pPr>
            <w:r w:rsidRPr="00DD25D0">
              <w:rPr>
                <w:sz w:val="20"/>
                <w:szCs w:val="20"/>
              </w:rPr>
              <w:t>Northern Cape</w:t>
            </w:r>
          </w:p>
        </w:tc>
        <w:tc>
          <w:tcPr>
            <w:tcW w:w="1116" w:type="dxa"/>
            <w:vAlign w:val="center"/>
          </w:tcPr>
          <w:p w:rsidR="00DD25D0" w:rsidRPr="00DD25D0" w:rsidRDefault="00DD25D0" w:rsidP="00DD25D0">
            <w:pPr>
              <w:keepNext/>
              <w:keepLines/>
              <w:jc w:val="center"/>
              <w:rPr>
                <w:sz w:val="20"/>
                <w:szCs w:val="20"/>
                <w:lang w:val="en-ZA"/>
              </w:rPr>
            </w:pPr>
            <w:r w:rsidRPr="00DD25D0">
              <w:rPr>
                <w:sz w:val="20"/>
                <w:szCs w:val="20"/>
              </w:rPr>
              <w:t>61</w:t>
            </w:r>
          </w:p>
        </w:tc>
        <w:tc>
          <w:tcPr>
            <w:tcW w:w="1120" w:type="dxa"/>
            <w:vAlign w:val="center"/>
          </w:tcPr>
          <w:p w:rsidR="00DD25D0" w:rsidRPr="00DD25D0" w:rsidRDefault="00DD25D0" w:rsidP="00DD25D0">
            <w:pPr>
              <w:keepNext/>
              <w:keepLines/>
              <w:jc w:val="center"/>
              <w:rPr>
                <w:sz w:val="20"/>
                <w:szCs w:val="20"/>
              </w:rPr>
            </w:pPr>
            <w:r w:rsidRPr="00DD25D0">
              <w:rPr>
                <w:sz w:val="20"/>
                <w:szCs w:val="20"/>
              </w:rPr>
              <w:t>55</w:t>
            </w:r>
          </w:p>
        </w:tc>
        <w:tc>
          <w:tcPr>
            <w:tcW w:w="1118" w:type="dxa"/>
            <w:vAlign w:val="center"/>
          </w:tcPr>
          <w:p w:rsidR="00DD25D0" w:rsidRPr="00DD25D0" w:rsidRDefault="00DD25D0" w:rsidP="00DD25D0">
            <w:pPr>
              <w:keepNext/>
              <w:keepLines/>
              <w:jc w:val="center"/>
              <w:rPr>
                <w:sz w:val="20"/>
                <w:szCs w:val="20"/>
                <w:lang w:val="en-ZA"/>
              </w:rPr>
            </w:pPr>
            <w:r w:rsidRPr="00DD25D0">
              <w:rPr>
                <w:sz w:val="20"/>
                <w:szCs w:val="20"/>
              </w:rPr>
              <w:t>46</w:t>
            </w:r>
          </w:p>
        </w:tc>
        <w:tc>
          <w:tcPr>
            <w:tcW w:w="1117" w:type="dxa"/>
            <w:vAlign w:val="center"/>
          </w:tcPr>
          <w:p w:rsidR="00DD25D0" w:rsidRPr="00DD25D0" w:rsidRDefault="00DD25D0" w:rsidP="00DD25D0">
            <w:pPr>
              <w:keepNext/>
              <w:keepLines/>
              <w:jc w:val="center"/>
              <w:rPr>
                <w:sz w:val="20"/>
                <w:szCs w:val="20"/>
              </w:rPr>
            </w:pPr>
            <w:r w:rsidRPr="00DD25D0">
              <w:rPr>
                <w:sz w:val="20"/>
                <w:szCs w:val="20"/>
              </w:rPr>
              <w:t>41</w:t>
            </w:r>
          </w:p>
        </w:tc>
        <w:tc>
          <w:tcPr>
            <w:tcW w:w="1117" w:type="dxa"/>
            <w:vAlign w:val="center"/>
          </w:tcPr>
          <w:p w:rsidR="00DD25D0" w:rsidRPr="00DD25D0" w:rsidRDefault="00DD25D0" w:rsidP="00DD25D0">
            <w:pPr>
              <w:keepNext/>
              <w:keepLines/>
              <w:jc w:val="center"/>
              <w:rPr>
                <w:sz w:val="20"/>
                <w:szCs w:val="20"/>
                <w:lang w:val="en-ZA"/>
              </w:rPr>
            </w:pPr>
            <w:r w:rsidRPr="00DD25D0">
              <w:rPr>
                <w:sz w:val="20"/>
                <w:szCs w:val="20"/>
              </w:rPr>
              <w:t>68</w:t>
            </w:r>
          </w:p>
        </w:tc>
        <w:tc>
          <w:tcPr>
            <w:tcW w:w="1119" w:type="dxa"/>
            <w:vAlign w:val="center"/>
          </w:tcPr>
          <w:p w:rsidR="00DD25D0" w:rsidRPr="00DD25D0" w:rsidRDefault="00DD25D0" w:rsidP="00DD25D0">
            <w:pPr>
              <w:keepNext/>
              <w:keepLines/>
              <w:jc w:val="center"/>
              <w:rPr>
                <w:sz w:val="20"/>
                <w:szCs w:val="20"/>
              </w:rPr>
            </w:pPr>
            <w:r w:rsidRPr="00DD25D0">
              <w:rPr>
                <w:sz w:val="20"/>
                <w:szCs w:val="20"/>
              </w:rPr>
              <w:t>67</w:t>
            </w:r>
          </w:p>
        </w:tc>
      </w:tr>
      <w:tr w:rsidR="00DD25D0" w:rsidRPr="000C1973" w:rsidTr="00DD25D0">
        <w:trPr>
          <w:trHeight w:val="259"/>
        </w:trPr>
        <w:tc>
          <w:tcPr>
            <w:tcW w:w="1984" w:type="dxa"/>
            <w:vAlign w:val="center"/>
          </w:tcPr>
          <w:p w:rsidR="00DD25D0" w:rsidRPr="00DD25D0" w:rsidRDefault="00DD25D0" w:rsidP="00DD25D0">
            <w:pPr>
              <w:keepNext/>
              <w:keepLines/>
              <w:rPr>
                <w:sz w:val="20"/>
                <w:szCs w:val="20"/>
              </w:rPr>
            </w:pPr>
            <w:r w:rsidRPr="00DD25D0">
              <w:rPr>
                <w:sz w:val="20"/>
                <w:szCs w:val="20"/>
              </w:rPr>
              <w:t>North West</w:t>
            </w:r>
          </w:p>
        </w:tc>
        <w:tc>
          <w:tcPr>
            <w:tcW w:w="1116" w:type="dxa"/>
            <w:vAlign w:val="center"/>
          </w:tcPr>
          <w:p w:rsidR="00DD25D0" w:rsidRPr="00DD25D0" w:rsidRDefault="00DD25D0" w:rsidP="00DD25D0">
            <w:pPr>
              <w:keepNext/>
              <w:keepLines/>
              <w:jc w:val="center"/>
              <w:rPr>
                <w:sz w:val="20"/>
                <w:szCs w:val="20"/>
                <w:lang w:val="en-ZA"/>
              </w:rPr>
            </w:pPr>
            <w:r w:rsidRPr="00DD25D0">
              <w:rPr>
                <w:sz w:val="20"/>
                <w:szCs w:val="20"/>
              </w:rPr>
              <w:t>151</w:t>
            </w:r>
          </w:p>
        </w:tc>
        <w:tc>
          <w:tcPr>
            <w:tcW w:w="1120" w:type="dxa"/>
            <w:vAlign w:val="center"/>
          </w:tcPr>
          <w:p w:rsidR="00DD25D0" w:rsidRPr="00DD25D0" w:rsidRDefault="00DD25D0" w:rsidP="00DD25D0">
            <w:pPr>
              <w:keepNext/>
              <w:keepLines/>
              <w:jc w:val="center"/>
              <w:rPr>
                <w:sz w:val="20"/>
                <w:szCs w:val="20"/>
              </w:rPr>
            </w:pPr>
            <w:r w:rsidRPr="00DD25D0">
              <w:rPr>
                <w:sz w:val="20"/>
                <w:szCs w:val="20"/>
              </w:rPr>
              <w:t>105</w:t>
            </w:r>
          </w:p>
        </w:tc>
        <w:tc>
          <w:tcPr>
            <w:tcW w:w="1118" w:type="dxa"/>
            <w:vAlign w:val="center"/>
          </w:tcPr>
          <w:p w:rsidR="00DD25D0" w:rsidRPr="00DD25D0" w:rsidRDefault="00DD25D0" w:rsidP="00DD25D0">
            <w:pPr>
              <w:keepNext/>
              <w:keepLines/>
              <w:jc w:val="center"/>
              <w:rPr>
                <w:sz w:val="20"/>
                <w:szCs w:val="20"/>
                <w:lang w:val="en-ZA"/>
              </w:rPr>
            </w:pPr>
            <w:r w:rsidRPr="00DD25D0">
              <w:rPr>
                <w:sz w:val="20"/>
                <w:szCs w:val="20"/>
              </w:rPr>
              <w:t>126</w:t>
            </w:r>
          </w:p>
        </w:tc>
        <w:tc>
          <w:tcPr>
            <w:tcW w:w="1117" w:type="dxa"/>
            <w:vAlign w:val="center"/>
          </w:tcPr>
          <w:p w:rsidR="00DD25D0" w:rsidRPr="00DD25D0" w:rsidRDefault="00DD25D0" w:rsidP="00DD25D0">
            <w:pPr>
              <w:keepNext/>
              <w:keepLines/>
              <w:jc w:val="center"/>
              <w:rPr>
                <w:sz w:val="20"/>
                <w:szCs w:val="20"/>
              </w:rPr>
            </w:pPr>
            <w:r w:rsidRPr="00DD25D0">
              <w:rPr>
                <w:sz w:val="20"/>
                <w:szCs w:val="20"/>
              </w:rPr>
              <w:t>103</w:t>
            </w:r>
          </w:p>
        </w:tc>
        <w:tc>
          <w:tcPr>
            <w:tcW w:w="1117" w:type="dxa"/>
            <w:vAlign w:val="center"/>
          </w:tcPr>
          <w:p w:rsidR="00DD25D0" w:rsidRPr="00DD25D0" w:rsidRDefault="00DD25D0" w:rsidP="00DD25D0">
            <w:pPr>
              <w:keepNext/>
              <w:keepLines/>
              <w:jc w:val="center"/>
              <w:rPr>
                <w:sz w:val="20"/>
                <w:szCs w:val="20"/>
                <w:lang w:val="en-ZA"/>
              </w:rPr>
            </w:pPr>
            <w:r w:rsidRPr="00DD25D0">
              <w:rPr>
                <w:sz w:val="20"/>
                <w:szCs w:val="20"/>
              </w:rPr>
              <w:t>251</w:t>
            </w:r>
          </w:p>
        </w:tc>
        <w:tc>
          <w:tcPr>
            <w:tcW w:w="1119" w:type="dxa"/>
            <w:vAlign w:val="center"/>
          </w:tcPr>
          <w:p w:rsidR="00DD25D0" w:rsidRPr="00DD25D0" w:rsidRDefault="00DD25D0" w:rsidP="00DD25D0">
            <w:pPr>
              <w:keepNext/>
              <w:keepLines/>
              <w:jc w:val="center"/>
              <w:rPr>
                <w:sz w:val="20"/>
                <w:szCs w:val="20"/>
              </w:rPr>
            </w:pPr>
            <w:r w:rsidRPr="00DD25D0">
              <w:rPr>
                <w:sz w:val="20"/>
                <w:szCs w:val="20"/>
              </w:rPr>
              <w:t>225</w:t>
            </w:r>
          </w:p>
        </w:tc>
      </w:tr>
      <w:tr w:rsidR="00DD25D0" w:rsidRPr="000C1973" w:rsidTr="00DD25D0">
        <w:trPr>
          <w:trHeight w:val="259"/>
        </w:trPr>
        <w:tc>
          <w:tcPr>
            <w:tcW w:w="1984" w:type="dxa"/>
            <w:vAlign w:val="center"/>
          </w:tcPr>
          <w:p w:rsidR="00DD25D0" w:rsidRPr="00DD25D0" w:rsidRDefault="00DD25D0" w:rsidP="00DD25D0">
            <w:pPr>
              <w:keepNext/>
              <w:keepLines/>
              <w:rPr>
                <w:sz w:val="20"/>
                <w:szCs w:val="20"/>
              </w:rPr>
            </w:pPr>
            <w:r w:rsidRPr="00DD25D0">
              <w:rPr>
                <w:sz w:val="20"/>
                <w:szCs w:val="20"/>
              </w:rPr>
              <w:t>Western Cape</w:t>
            </w:r>
          </w:p>
        </w:tc>
        <w:tc>
          <w:tcPr>
            <w:tcW w:w="1116" w:type="dxa"/>
            <w:vAlign w:val="center"/>
          </w:tcPr>
          <w:p w:rsidR="00DD25D0" w:rsidRPr="00DD25D0" w:rsidRDefault="00DD25D0" w:rsidP="00DD25D0">
            <w:pPr>
              <w:keepNext/>
              <w:keepLines/>
              <w:jc w:val="center"/>
              <w:rPr>
                <w:sz w:val="20"/>
                <w:szCs w:val="20"/>
                <w:lang w:val="en-ZA"/>
              </w:rPr>
            </w:pPr>
            <w:r w:rsidRPr="00DD25D0">
              <w:rPr>
                <w:sz w:val="20"/>
                <w:szCs w:val="20"/>
              </w:rPr>
              <w:t>12</w:t>
            </w:r>
          </w:p>
        </w:tc>
        <w:tc>
          <w:tcPr>
            <w:tcW w:w="1120" w:type="dxa"/>
            <w:vAlign w:val="center"/>
          </w:tcPr>
          <w:p w:rsidR="00DD25D0" w:rsidRPr="00DD25D0" w:rsidRDefault="00DD25D0" w:rsidP="00DD25D0">
            <w:pPr>
              <w:keepNext/>
              <w:keepLines/>
              <w:jc w:val="center"/>
              <w:rPr>
                <w:sz w:val="20"/>
                <w:szCs w:val="20"/>
              </w:rPr>
            </w:pPr>
            <w:r w:rsidRPr="00DD25D0">
              <w:rPr>
                <w:sz w:val="20"/>
                <w:szCs w:val="20"/>
              </w:rPr>
              <w:t>12</w:t>
            </w:r>
          </w:p>
        </w:tc>
        <w:tc>
          <w:tcPr>
            <w:tcW w:w="1118" w:type="dxa"/>
            <w:vAlign w:val="center"/>
          </w:tcPr>
          <w:p w:rsidR="00DD25D0" w:rsidRPr="00DD25D0" w:rsidRDefault="00DD25D0" w:rsidP="00DD25D0">
            <w:pPr>
              <w:keepNext/>
              <w:keepLines/>
              <w:jc w:val="center"/>
              <w:rPr>
                <w:sz w:val="20"/>
                <w:szCs w:val="20"/>
                <w:lang w:val="en-ZA"/>
              </w:rPr>
            </w:pPr>
            <w:r w:rsidRPr="00DD25D0">
              <w:rPr>
                <w:sz w:val="20"/>
                <w:szCs w:val="20"/>
              </w:rPr>
              <w:t>27</w:t>
            </w:r>
          </w:p>
        </w:tc>
        <w:tc>
          <w:tcPr>
            <w:tcW w:w="1117" w:type="dxa"/>
            <w:vAlign w:val="center"/>
          </w:tcPr>
          <w:p w:rsidR="00DD25D0" w:rsidRPr="00DD25D0" w:rsidRDefault="00DD25D0" w:rsidP="00DD25D0">
            <w:pPr>
              <w:keepNext/>
              <w:keepLines/>
              <w:jc w:val="center"/>
              <w:rPr>
                <w:sz w:val="20"/>
                <w:szCs w:val="20"/>
              </w:rPr>
            </w:pPr>
            <w:r w:rsidRPr="00DD25D0">
              <w:rPr>
                <w:sz w:val="20"/>
                <w:szCs w:val="20"/>
              </w:rPr>
              <w:t>18</w:t>
            </w:r>
          </w:p>
        </w:tc>
        <w:tc>
          <w:tcPr>
            <w:tcW w:w="1117" w:type="dxa"/>
            <w:vAlign w:val="center"/>
          </w:tcPr>
          <w:p w:rsidR="00DD25D0" w:rsidRPr="00DD25D0" w:rsidRDefault="00DD25D0" w:rsidP="00DD25D0">
            <w:pPr>
              <w:keepNext/>
              <w:keepLines/>
              <w:jc w:val="center"/>
              <w:rPr>
                <w:sz w:val="20"/>
                <w:szCs w:val="20"/>
                <w:lang w:val="en-ZA"/>
              </w:rPr>
            </w:pPr>
            <w:r w:rsidRPr="00DD25D0">
              <w:rPr>
                <w:sz w:val="20"/>
                <w:szCs w:val="20"/>
              </w:rPr>
              <w:t>14</w:t>
            </w:r>
          </w:p>
        </w:tc>
        <w:tc>
          <w:tcPr>
            <w:tcW w:w="1119" w:type="dxa"/>
            <w:vAlign w:val="center"/>
          </w:tcPr>
          <w:p w:rsidR="00DD25D0" w:rsidRPr="00DD25D0" w:rsidRDefault="00DD25D0" w:rsidP="00DD25D0">
            <w:pPr>
              <w:keepNext/>
              <w:keepLines/>
              <w:jc w:val="center"/>
              <w:rPr>
                <w:sz w:val="20"/>
                <w:szCs w:val="20"/>
              </w:rPr>
            </w:pPr>
            <w:r w:rsidRPr="00DD25D0">
              <w:rPr>
                <w:sz w:val="20"/>
                <w:szCs w:val="20"/>
              </w:rPr>
              <w:t>32</w:t>
            </w:r>
          </w:p>
        </w:tc>
      </w:tr>
      <w:tr w:rsidR="00DD25D0" w:rsidRPr="00661179" w:rsidTr="00DD25D0">
        <w:trPr>
          <w:trHeight w:val="259"/>
        </w:trPr>
        <w:tc>
          <w:tcPr>
            <w:tcW w:w="1984" w:type="dxa"/>
            <w:vAlign w:val="center"/>
          </w:tcPr>
          <w:p w:rsidR="00DD25D0" w:rsidRPr="00DD25D0" w:rsidRDefault="00DD25D0" w:rsidP="00DD25D0">
            <w:pPr>
              <w:keepNext/>
              <w:keepLines/>
              <w:rPr>
                <w:b/>
                <w:sz w:val="20"/>
                <w:szCs w:val="20"/>
              </w:rPr>
            </w:pPr>
            <w:r w:rsidRPr="00DD25D0">
              <w:rPr>
                <w:b/>
                <w:sz w:val="20"/>
                <w:szCs w:val="20"/>
              </w:rPr>
              <w:t>South Africa</w:t>
            </w:r>
          </w:p>
        </w:tc>
        <w:tc>
          <w:tcPr>
            <w:tcW w:w="1116" w:type="dxa"/>
            <w:vAlign w:val="center"/>
          </w:tcPr>
          <w:p w:rsidR="00DD25D0" w:rsidRPr="00DD25D0" w:rsidRDefault="00DD25D0" w:rsidP="00DD25D0">
            <w:pPr>
              <w:keepNext/>
              <w:keepLines/>
              <w:jc w:val="center"/>
              <w:rPr>
                <w:b/>
                <w:sz w:val="20"/>
                <w:szCs w:val="20"/>
                <w:lang w:val="en-ZA"/>
              </w:rPr>
            </w:pPr>
            <w:r w:rsidRPr="00DD25D0">
              <w:rPr>
                <w:b/>
                <w:sz w:val="20"/>
                <w:szCs w:val="20"/>
              </w:rPr>
              <w:t>1 775</w:t>
            </w:r>
          </w:p>
        </w:tc>
        <w:tc>
          <w:tcPr>
            <w:tcW w:w="1120" w:type="dxa"/>
            <w:vAlign w:val="center"/>
          </w:tcPr>
          <w:p w:rsidR="00DD25D0" w:rsidRPr="00DD25D0" w:rsidRDefault="00DD25D0" w:rsidP="00DD25D0">
            <w:pPr>
              <w:keepNext/>
              <w:keepLines/>
              <w:jc w:val="center"/>
              <w:rPr>
                <w:b/>
                <w:sz w:val="20"/>
                <w:szCs w:val="20"/>
              </w:rPr>
            </w:pPr>
            <w:r w:rsidRPr="00DD25D0">
              <w:rPr>
                <w:b/>
                <w:sz w:val="20"/>
                <w:szCs w:val="20"/>
              </w:rPr>
              <w:t>1 513</w:t>
            </w:r>
          </w:p>
        </w:tc>
        <w:tc>
          <w:tcPr>
            <w:tcW w:w="1118" w:type="dxa"/>
            <w:vAlign w:val="center"/>
          </w:tcPr>
          <w:p w:rsidR="00DD25D0" w:rsidRPr="00DD25D0" w:rsidRDefault="00DD25D0" w:rsidP="00DD25D0">
            <w:pPr>
              <w:keepNext/>
              <w:keepLines/>
              <w:jc w:val="center"/>
              <w:rPr>
                <w:b/>
                <w:sz w:val="20"/>
                <w:szCs w:val="20"/>
                <w:lang w:val="en-ZA"/>
              </w:rPr>
            </w:pPr>
            <w:r w:rsidRPr="00DD25D0">
              <w:rPr>
                <w:b/>
                <w:sz w:val="20"/>
                <w:szCs w:val="20"/>
              </w:rPr>
              <w:t>1 532</w:t>
            </w:r>
          </w:p>
        </w:tc>
        <w:tc>
          <w:tcPr>
            <w:tcW w:w="1117" w:type="dxa"/>
            <w:vAlign w:val="center"/>
          </w:tcPr>
          <w:p w:rsidR="00DD25D0" w:rsidRPr="00DD25D0" w:rsidRDefault="00DD25D0" w:rsidP="00DD25D0">
            <w:pPr>
              <w:keepNext/>
              <w:keepLines/>
              <w:jc w:val="center"/>
              <w:rPr>
                <w:b/>
                <w:sz w:val="20"/>
                <w:szCs w:val="20"/>
              </w:rPr>
            </w:pPr>
            <w:r w:rsidRPr="00DD25D0">
              <w:rPr>
                <w:b/>
                <w:sz w:val="20"/>
                <w:szCs w:val="20"/>
              </w:rPr>
              <w:t>1 411</w:t>
            </w:r>
          </w:p>
        </w:tc>
        <w:tc>
          <w:tcPr>
            <w:tcW w:w="1117" w:type="dxa"/>
            <w:vAlign w:val="center"/>
          </w:tcPr>
          <w:p w:rsidR="00DD25D0" w:rsidRPr="00DD25D0" w:rsidRDefault="00DD25D0" w:rsidP="00DD25D0">
            <w:pPr>
              <w:keepNext/>
              <w:keepLines/>
              <w:jc w:val="center"/>
              <w:rPr>
                <w:b/>
                <w:sz w:val="20"/>
                <w:szCs w:val="20"/>
                <w:lang w:val="en-ZA"/>
              </w:rPr>
            </w:pPr>
            <w:r w:rsidRPr="00DD25D0">
              <w:rPr>
                <w:b/>
                <w:sz w:val="20"/>
                <w:szCs w:val="20"/>
              </w:rPr>
              <w:t>1 762</w:t>
            </w:r>
          </w:p>
        </w:tc>
        <w:tc>
          <w:tcPr>
            <w:tcW w:w="1119" w:type="dxa"/>
            <w:vAlign w:val="center"/>
          </w:tcPr>
          <w:p w:rsidR="00DD25D0" w:rsidRPr="00DD25D0" w:rsidRDefault="00DD25D0" w:rsidP="00DD25D0">
            <w:pPr>
              <w:keepNext/>
              <w:keepLines/>
              <w:jc w:val="center"/>
              <w:rPr>
                <w:b/>
                <w:sz w:val="20"/>
                <w:szCs w:val="20"/>
              </w:rPr>
            </w:pPr>
            <w:r w:rsidRPr="00DD25D0">
              <w:rPr>
                <w:b/>
                <w:sz w:val="20"/>
                <w:szCs w:val="20"/>
              </w:rPr>
              <w:t>1 852</w:t>
            </w:r>
          </w:p>
        </w:tc>
      </w:tr>
    </w:tbl>
    <w:p w:rsidR="00DD25D0" w:rsidRPr="00661179" w:rsidRDefault="00DD25D0" w:rsidP="00DD25D0">
      <w:pPr>
        <w:jc w:val="both"/>
        <w:outlineLvl w:val="0"/>
        <w:rPr>
          <w:b/>
          <w:sz w:val="24"/>
        </w:rPr>
      </w:pPr>
    </w:p>
    <w:p w:rsidR="00DD25D0" w:rsidRPr="00253869" w:rsidRDefault="00DD25D0" w:rsidP="00DD25D0">
      <w:pPr>
        <w:pStyle w:val="ListParagraph"/>
        <w:numPr>
          <w:ilvl w:val="0"/>
          <w:numId w:val="39"/>
        </w:numPr>
        <w:ind w:left="1440" w:hanging="720"/>
        <w:jc w:val="both"/>
        <w:outlineLvl w:val="0"/>
        <w:rPr>
          <w:sz w:val="24"/>
        </w:rPr>
      </w:pPr>
      <w:r w:rsidRPr="00253869">
        <w:rPr>
          <w:sz w:val="24"/>
        </w:rPr>
        <w:t xml:space="preserve">The numbers of child deaths by category of hospital during 2014/15 are shown in </w:t>
      </w:r>
      <w:fldSimple w:instr=" REF _Ref434505719 \h  \* MERGEFORMAT ">
        <w:r w:rsidRPr="00DD25D0">
          <w:rPr>
            <w:sz w:val="24"/>
          </w:rPr>
          <w:t xml:space="preserve">Table </w:t>
        </w:r>
        <w:r w:rsidRPr="00DD25D0">
          <w:rPr>
            <w:noProof/>
            <w:sz w:val="24"/>
          </w:rPr>
          <w:t>3</w:t>
        </w:r>
      </w:fldSimple>
      <w:r w:rsidRPr="00253869">
        <w:rPr>
          <w:sz w:val="24"/>
        </w:rPr>
        <w:t>. The majority of deaths occur in district hospitals</w:t>
      </w:r>
      <w:r>
        <w:rPr>
          <w:sz w:val="24"/>
        </w:rPr>
        <w:t xml:space="preserve"> (which account for the majority of hospitals). Departmental interventions to improve quality of care therefore focus predominantly on these hospitals.</w:t>
      </w:r>
    </w:p>
    <w:p w:rsidR="00DD25D0" w:rsidRPr="00A36FA2" w:rsidRDefault="00DD25D0" w:rsidP="00DD25D0">
      <w:pPr>
        <w:pStyle w:val="ListParagraph"/>
        <w:jc w:val="both"/>
        <w:outlineLvl w:val="0"/>
        <w:rPr>
          <w:sz w:val="20"/>
          <w:szCs w:val="20"/>
        </w:rPr>
      </w:pPr>
    </w:p>
    <w:p w:rsidR="00DD25D0" w:rsidRPr="00A36FA2" w:rsidRDefault="00DD25D0" w:rsidP="00DD25D0">
      <w:pPr>
        <w:pStyle w:val="Caption"/>
        <w:ind w:left="1440"/>
        <w:rPr>
          <w:sz w:val="20"/>
        </w:rPr>
      </w:pPr>
      <w:bookmarkStart w:id="3" w:name="_Ref434505719"/>
      <w:r w:rsidRPr="00A36FA2">
        <w:rPr>
          <w:sz w:val="20"/>
        </w:rPr>
        <w:t xml:space="preserve">Table </w:t>
      </w:r>
      <w:r w:rsidR="006C6455" w:rsidRPr="00A36FA2">
        <w:rPr>
          <w:sz w:val="20"/>
        </w:rPr>
        <w:fldChar w:fldCharType="begin"/>
      </w:r>
      <w:r w:rsidRPr="00A36FA2">
        <w:rPr>
          <w:sz w:val="20"/>
        </w:rPr>
        <w:instrText xml:space="preserve"> SEQ Table \* ARABIC </w:instrText>
      </w:r>
      <w:r w:rsidR="006C6455" w:rsidRPr="00A36FA2">
        <w:rPr>
          <w:sz w:val="20"/>
        </w:rPr>
        <w:fldChar w:fldCharType="separate"/>
      </w:r>
      <w:r>
        <w:rPr>
          <w:noProof/>
          <w:sz w:val="20"/>
        </w:rPr>
        <w:t>3</w:t>
      </w:r>
      <w:r w:rsidR="006C6455" w:rsidRPr="00A36FA2">
        <w:rPr>
          <w:sz w:val="20"/>
        </w:rPr>
        <w:fldChar w:fldCharType="end"/>
      </w:r>
      <w:bookmarkEnd w:id="3"/>
      <w:r w:rsidRPr="00A36FA2">
        <w:rPr>
          <w:sz w:val="20"/>
        </w:rPr>
        <w:t>: De</w:t>
      </w:r>
      <w:r>
        <w:rPr>
          <w:sz w:val="20"/>
        </w:rPr>
        <w:t xml:space="preserve">aths in children under </w:t>
      </w:r>
      <w:r w:rsidRPr="00A36FA2">
        <w:rPr>
          <w:sz w:val="20"/>
        </w:rPr>
        <w:t xml:space="preserve">five years </w:t>
      </w:r>
      <w:r>
        <w:rPr>
          <w:sz w:val="20"/>
        </w:rPr>
        <w:t xml:space="preserve">of age </w:t>
      </w:r>
      <w:r w:rsidRPr="00A36FA2">
        <w:rPr>
          <w:sz w:val="20"/>
        </w:rPr>
        <w:t>from diarrhoea, pneumonia and SAM by category of hospital for 2014/15</w:t>
      </w:r>
      <w:r w:rsidRPr="00A36FA2">
        <w:rPr>
          <w:rStyle w:val="FootnoteReference"/>
          <w:sz w:val="20"/>
        </w:rPr>
        <w:footnoteReference w:id="3"/>
      </w:r>
    </w:p>
    <w:p w:rsidR="00DD25D0" w:rsidRPr="008F62F6" w:rsidRDefault="00DD25D0" w:rsidP="00DD25D0">
      <w:pPr>
        <w:pStyle w:val="Caption"/>
        <w:rPr>
          <w:rFonts w:cs="Arial"/>
          <w:sz w:val="24"/>
          <w:szCs w:val="24"/>
        </w:rPr>
      </w:pPr>
    </w:p>
    <w:tbl>
      <w:tblPr>
        <w:tblW w:w="869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7"/>
        <w:gridCol w:w="1594"/>
        <w:gridCol w:w="1790"/>
        <w:gridCol w:w="1790"/>
      </w:tblGrid>
      <w:tr w:rsidR="00DD25D0" w:rsidRPr="00E7186D" w:rsidTr="00DD25D0">
        <w:trPr>
          <w:trHeight w:val="300"/>
        </w:trPr>
        <w:tc>
          <w:tcPr>
            <w:tcW w:w="3517" w:type="dxa"/>
            <w:tcBorders>
              <w:bottom w:val="nil"/>
            </w:tcBorders>
            <w:shd w:val="clear" w:color="auto" w:fill="auto"/>
            <w:noWrap/>
            <w:vAlign w:val="center"/>
            <w:hideMark/>
          </w:tcPr>
          <w:p w:rsidR="00DD25D0" w:rsidRPr="00E7186D" w:rsidRDefault="00DD25D0" w:rsidP="003876FE">
            <w:pPr>
              <w:keepNext/>
              <w:keepLines/>
              <w:rPr>
                <w:color w:val="000000"/>
                <w:sz w:val="24"/>
              </w:rPr>
            </w:pPr>
          </w:p>
        </w:tc>
        <w:tc>
          <w:tcPr>
            <w:tcW w:w="5174" w:type="dxa"/>
            <w:gridSpan w:val="3"/>
            <w:tcBorders>
              <w:bottom w:val="nil"/>
            </w:tcBorders>
            <w:shd w:val="clear" w:color="auto" w:fill="auto"/>
            <w:noWrap/>
            <w:vAlign w:val="center"/>
            <w:hideMark/>
          </w:tcPr>
          <w:p w:rsidR="00DD25D0" w:rsidRPr="002454FE" w:rsidRDefault="00DD25D0" w:rsidP="003876FE">
            <w:pPr>
              <w:keepNext/>
              <w:keepLines/>
              <w:jc w:val="center"/>
              <w:rPr>
                <w:color w:val="000000"/>
                <w:sz w:val="20"/>
                <w:szCs w:val="20"/>
              </w:rPr>
            </w:pPr>
            <w:r w:rsidRPr="002454FE">
              <w:rPr>
                <w:b/>
                <w:sz w:val="20"/>
                <w:szCs w:val="20"/>
              </w:rPr>
              <w:t>Deaths as a result of:</w:t>
            </w:r>
          </w:p>
        </w:tc>
      </w:tr>
      <w:tr w:rsidR="00DD25D0" w:rsidRPr="00E7186D" w:rsidTr="00DD25D0">
        <w:trPr>
          <w:trHeight w:val="300"/>
        </w:trPr>
        <w:tc>
          <w:tcPr>
            <w:tcW w:w="3517" w:type="dxa"/>
            <w:tcBorders>
              <w:top w:val="nil"/>
            </w:tcBorders>
            <w:shd w:val="clear" w:color="auto" w:fill="auto"/>
            <w:noWrap/>
            <w:vAlign w:val="center"/>
            <w:hideMark/>
          </w:tcPr>
          <w:p w:rsidR="00DD25D0" w:rsidRPr="002454FE" w:rsidRDefault="00DD25D0" w:rsidP="003876FE">
            <w:pPr>
              <w:keepNext/>
              <w:keepLines/>
              <w:rPr>
                <w:color w:val="000000"/>
                <w:sz w:val="20"/>
                <w:szCs w:val="20"/>
              </w:rPr>
            </w:pPr>
          </w:p>
        </w:tc>
        <w:tc>
          <w:tcPr>
            <w:tcW w:w="1594" w:type="dxa"/>
            <w:tcBorders>
              <w:top w:val="nil"/>
              <w:right w:val="nil"/>
            </w:tcBorders>
            <w:shd w:val="clear" w:color="auto" w:fill="auto"/>
            <w:noWrap/>
            <w:vAlign w:val="center"/>
            <w:hideMark/>
          </w:tcPr>
          <w:p w:rsidR="00DD25D0" w:rsidRPr="002454FE" w:rsidRDefault="00DD25D0" w:rsidP="003876FE">
            <w:pPr>
              <w:keepNext/>
              <w:keepLines/>
              <w:jc w:val="center"/>
              <w:rPr>
                <w:b/>
                <w:color w:val="000000"/>
                <w:sz w:val="20"/>
                <w:szCs w:val="20"/>
              </w:rPr>
            </w:pPr>
            <w:r w:rsidRPr="002454FE">
              <w:rPr>
                <w:b/>
                <w:color w:val="000000"/>
                <w:sz w:val="20"/>
                <w:szCs w:val="20"/>
              </w:rPr>
              <w:t>Diarrhoea</w:t>
            </w:r>
          </w:p>
        </w:tc>
        <w:tc>
          <w:tcPr>
            <w:tcW w:w="1790" w:type="dxa"/>
            <w:tcBorders>
              <w:top w:val="nil"/>
              <w:left w:val="nil"/>
              <w:right w:val="nil"/>
            </w:tcBorders>
            <w:shd w:val="clear" w:color="auto" w:fill="auto"/>
            <w:noWrap/>
            <w:vAlign w:val="center"/>
            <w:hideMark/>
          </w:tcPr>
          <w:p w:rsidR="00DD25D0" w:rsidRPr="002454FE" w:rsidRDefault="00DD25D0" w:rsidP="003876FE">
            <w:pPr>
              <w:keepNext/>
              <w:keepLines/>
              <w:jc w:val="center"/>
              <w:rPr>
                <w:b/>
                <w:color w:val="000000"/>
                <w:sz w:val="20"/>
                <w:szCs w:val="20"/>
              </w:rPr>
            </w:pPr>
            <w:r w:rsidRPr="002454FE">
              <w:rPr>
                <w:b/>
                <w:color w:val="000000"/>
                <w:sz w:val="20"/>
                <w:szCs w:val="20"/>
              </w:rPr>
              <w:t>Pneumonia</w:t>
            </w:r>
          </w:p>
        </w:tc>
        <w:tc>
          <w:tcPr>
            <w:tcW w:w="1790" w:type="dxa"/>
            <w:tcBorders>
              <w:top w:val="nil"/>
              <w:left w:val="nil"/>
            </w:tcBorders>
            <w:shd w:val="clear" w:color="auto" w:fill="auto"/>
            <w:noWrap/>
            <w:vAlign w:val="center"/>
            <w:hideMark/>
          </w:tcPr>
          <w:p w:rsidR="00DD25D0" w:rsidRPr="002454FE" w:rsidRDefault="00DD25D0" w:rsidP="003876FE">
            <w:pPr>
              <w:keepNext/>
              <w:keepLines/>
              <w:jc w:val="center"/>
              <w:rPr>
                <w:b/>
                <w:color w:val="000000"/>
                <w:sz w:val="20"/>
                <w:szCs w:val="20"/>
              </w:rPr>
            </w:pPr>
            <w:r w:rsidRPr="002454FE">
              <w:rPr>
                <w:b/>
                <w:color w:val="000000"/>
                <w:sz w:val="20"/>
                <w:szCs w:val="20"/>
              </w:rPr>
              <w:t>SAM</w:t>
            </w:r>
          </w:p>
        </w:tc>
      </w:tr>
      <w:tr w:rsidR="00DD25D0" w:rsidRPr="00E7186D" w:rsidTr="00DD25D0">
        <w:trPr>
          <w:trHeight w:val="287"/>
        </w:trPr>
        <w:tc>
          <w:tcPr>
            <w:tcW w:w="3517" w:type="dxa"/>
            <w:shd w:val="clear" w:color="auto" w:fill="auto"/>
            <w:noWrap/>
            <w:vAlign w:val="center"/>
            <w:hideMark/>
          </w:tcPr>
          <w:p w:rsidR="00DD25D0" w:rsidRPr="002454FE" w:rsidRDefault="00DD25D0" w:rsidP="003876FE">
            <w:pPr>
              <w:keepNext/>
              <w:keepLines/>
              <w:rPr>
                <w:color w:val="000000"/>
                <w:sz w:val="20"/>
                <w:szCs w:val="20"/>
              </w:rPr>
            </w:pPr>
            <w:r w:rsidRPr="002454FE">
              <w:rPr>
                <w:color w:val="000000"/>
                <w:sz w:val="20"/>
                <w:szCs w:val="20"/>
              </w:rPr>
              <w:t>National Central Hospitals</w:t>
            </w:r>
          </w:p>
        </w:tc>
        <w:tc>
          <w:tcPr>
            <w:tcW w:w="1594" w:type="dxa"/>
            <w:shd w:val="clear" w:color="auto" w:fill="auto"/>
            <w:noWrap/>
            <w:vAlign w:val="center"/>
            <w:hideMark/>
          </w:tcPr>
          <w:p w:rsidR="00DD25D0" w:rsidRPr="002454FE" w:rsidRDefault="00DD25D0" w:rsidP="003876FE">
            <w:pPr>
              <w:keepNext/>
              <w:keepLines/>
              <w:jc w:val="center"/>
              <w:rPr>
                <w:color w:val="000000"/>
                <w:sz w:val="20"/>
                <w:szCs w:val="20"/>
              </w:rPr>
            </w:pPr>
            <w:r w:rsidRPr="002454FE">
              <w:rPr>
                <w:color w:val="000000"/>
                <w:sz w:val="20"/>
                <w:szCs w:val="20"/>
              </w:rPr>
              <w:t>53</w:t>
            </w:r>
          </w:p>
        </w:tc>
        <w:tc>
          <w:tcPr>
            <w:tcW w:w="1790" w:type="dxa"/>
            <w:shd w:val="clear" w:color="auto" w:fill="auto"/>
            <w:noWrap/>
            <w:vAlign w:val="center"/>
            <w:hideMark/>
          </w:tcPr>
          <w:p w:rsidR="00DD25D0" w:rsidRPr="002454FE" w:rsidRDefault="00DD25D0" w:rsidP="003876FE">
            <w:pPr>
              <w:keepNext/>
              <w:keepLines/>
              <w:jc w:val="center"/>
              <w:rPr>
                <w:color w:val="000000"/>
                <w:sz w:val="20"/>
                <w:szCs w:val="20"/>
              </w:rPr>
            </w:pPr>
            <w:r w:rsidRPr="002454FE">
              <w:rPr>
                <w:color w:val="000000"/>
                <w:sz w:val="20"/>
                <w:szCs w:val="20"/>
              </w:rPr>
              <w:t>116</w:t>
            </w:r>
          </w:p>
        </w:tc>
        <w:tc>
          <w:tcPr>
            <w:tcW w:w="1790" w:type="dxa"/>
            <w:shd w:val="clear" w:color="auto" w:fill="auto"/>
            <w:noWrap/>
            <w:vAlign w:val="center"/>
            <w:hideMark/>
          </w:tcPr>
          <w:p w:rsidR="00DD25D0" w:rsidRPr="002454FE" w:rsidRDefault="00DD25D0" w:rsidP="003876FE">
            <w:pPr>
              <w:keepNext/>
              <w:keepLines/>
              <w:jc w:val="center"/>
              <w:rPr>
                <w:color w:val="000000"/>
                <w:sz w:val="20"/>
                <w:szCs w:val="20"/>
              </w:rPr>
            </w:pPr>
            <w:r w:rsidRPr="002454FE">
              <w:rPr>
                <w:color w:val="000000"/>
                <w:sz w:val="20"/>
                <w:szCs w:val="20"/>
              </w:rPr>
              <w:t>25</w:t>
            </w:r>
          </w:p>
        </w:tc>
      </w:tr>
      <w:tr w:rsidR="00DD25D0" w:rsidRPr="00E7186D" w:rsidTr="00DD25D0">
        <w:trPr>
          <w:trHeight w:val="260"/>
        </w:trPr>
        <w:tc>
          <w:tcPr>
            <w:tcW w:w="3517" w:type="dxa"/>
            <w:shd w:val="clear" w:color="auto" w:fill="auto"/>
            <w:noWrap/>
            <w:vAlign w:val="center"/>
            <w:hideMark/>
          </w:tcPr>
          <w:p w:rsidR="00DD25D0" w:rsidRPr="002454FE" w:rsidRDefault="00DD25D0" w:rsidP="003876FE">
            <w:pPr>
              <w:keepNext/>
              <w:keepLines/>
              <w:rPr>
                <w:color w:val="000000"/>
                <w:sz w:val="20"/>
                <w:szCs w:val="20"/>
              </w:rPr>
            </w:pPr>
            <w:r w:rsidRPr="002454FE">
              <w:rPr>
                <w:color w:val="000000"/>
                <w:sz w:val="20"/>
                <w:szCs w:val="20"/>
              </w:rPr>
              <w:t>Provincial Tertiary Hospitals</w:t>
            </w:r>
          </w:p>
        </w:tc>
        <w:tc>
          <w:tcPr>
            <w:tcW w:w="1594" w:type="dxa"/>
            <w:shd w:val="clear" w:color="auto" w:fill="auto"/>
            <w:noWrap/>
            <w:vAlign w:val="center"/>
            <w:hideMark/>
          </w:tcPr>
          <w:p w:rsidR="00DD25D0" w:rsidRPr="002454FE" w:rsidRDefault="00DD25D0" w:rsidP="003876FE">
            <w:pPr>
              <w:keepNext/>
              <w:keepLines/>
              <w:jc w:val="center"/>
              <w:rPr>
                <w:color w:val="000000"/>
                <w:sz w:val="20"/>
                <w:szCs w:val="20"/>
              </w:rPr>
            </w:pPr>
            <w:r w:rsidRPr="002454FE">
              <w:rPr>
                <w:color w:val="000000"/>
                <w:sz w:val="20"/>
                <w:szCs w:val="20"/>
              </w:rPr>
              <w:t>115</w:t>
            </w:r>
          </w:p>
        </w:tc>
        <w:tc>
          <w:tcPr>
            <w:tcW w:w="1790" w:type="dxa"/>
            <w:shd w:val="clear" w:color="auto" w:fill="auto"/>
            <w:noWrap/>
            <w:vAlign w:val="center"/>
            <w:hideMark/>
          </w:tcPr>
          <w:p w:rsidR="00DD25D0" w:rsidRPr="002454FE" w:rsidRDefault="00DD25D0" w:rsidP="003876FE">
            <w:pPr>
              <w:keepNext/>
              <w:keepLines/>
              <w:jc w:val="center"/>
              <w:rPr>
                <w:color w:val="000000"/>
                <w:sz w:val="20"/>
                <w:szCs w:val="20"/>
              </w:rPr>
            </w:pPr>
            <w:r w:rsidRPr="002454FE">
              <w:rPr>
                <w:color w:val="000000"/>
                <w:sz w:val="20"/>
                <w:szCs w:val="20"/>
              </w:rPr>
              <w:t>93</w:t>
            </w:r>
          </w:p>
        </w:tc>
        <w:tc>
          <w:tcPr>
            <w:tcW w:w="1790" w:type="dxa"/>
            <w:shd w:val="clear" w:color="auto" w:fill="auto"/>
            <w:noWrap/>
            <w:vAlign w:val="center"/>
            <w:hideMark/>
          </w:tcPr>
          <w:p w:rsidR="00DD25D0" w:rsidRPr="002454FE" w:rsidRDefault="00DD25D0" w:rsidP="003876FE">
            <w:pPr>
              <w:keepNext/>
              <w:keepLines/>
              <w:jc w:val="center"/>
              <w:rPr>
                <w:color w:val="000000"/>
                <w:sz w:val="20"/>
                <w:szCs w:val="20"/>
              </w:rPr>
            </w:pPr>
            <w:r w:rsidRPr="002454FE">
              <w:rPr>
                <w:color w:val="000000"/>
                <w:sz w:val="20"/>
                <w:szCs w:val="20"/>
              </w:rPr>
              <w:t>96</w:t>
            </w:r>
          </w:p>
        </w:tc>
      </w:tr>
      <w:tr w:rsidR="00DD25D0" w:rsidRPr="00E7186D" w:rsidTr="00DD25D0">
        <w:trPr>
          <w:trHeight w:val="260"/>
        </w:trPr>
        <w:tc>
          <w:tcPr>
            <w:tcW w:w="3517" w:type="dxa"/>
            <w:shd w:val="clear" w:color="auto" w:fill="auto"/>
            <w:noWrap/>
            <w:vAlign w:val="center"/>
            <w:hideMark/>
          </w:tcPr>
          <w:p w:rsidR="00DD25D0" w:rsidRPr="002454FE" w:rsidRDefault="00DD25D0" w:rsidP="003876FE">
            <w:pPr>
              <w:keepNext/>
              <w:keepLines/>
              <w:rPr>
                <w:color w:val="000000"/>
                <w:sz w:val="20"/>
                <w:szCs w:val="20"/>
              </w:rPr>
            </w:pPr>
            <w:r w:rsidRPr="002454FE">
              <w:rPr>
                <w:color w:val="000000"/>
                <w:sz w:val="20"/>
                <w:szCs w:val="20"/>
              </w:rPr>
              <w:t>Regional Hospitals</w:t>
            </w:r>
          </w:p>
        </w:tc>
        <w:tc>
          <w:tcPr>
            <w:tcW w:w="1594" w:type="dxa"/>
            <w:shd w:val="clear" w:color="auto" w:fill="auto"/>
            <w:noWrap/>
            <w:vAlign w:val="center"/>
            <w:hideMark/>
          </w:tcPr>
          <w:p w:rsidR="00DD25D0" w:rsidRPr="002454FE" w:rsidRDefault="00DD25D0" w:rsidP="003876FE">
            <w:pPr>
              <w:keepNext/>
              <w:keepLines/>
              <w:jc w:val="center"/>
              <w:rPr>
                <w:color w:val="000000"/>
                <w:sz w:val="20"/>
                <w:szCs w:val="20"/>
              </w:rPr>
            </w:pPr>
            <w:r w:rsidRPr="002454FE">
              <w:rPr>
                <w:color w:val="000000"/>
                <w:sz w:val="20"/>
                <w:szCs w:val="20"/>
              </w:rPr>
              <w:t>343</w:t>
            </w:r>
          </w:p>
        </w:tc>
        <w:tc>
          <w:tcPr>
            <w:tcW w:w="1790" w:type="dxa"/>
            <w:shd w:val="clear" w:color="auto" w:fill="auto"/>
            <w:noWrap/>
            <w:vAlign w:val="center"/>
            <w:hideMark/>
          </w:tcPr>
          <w:p w:rsidR="00DD25D0" w:rsidRPr="002454FE" w:rsidRDefault="00DD25D0" w:rsidP="003876FE">
            <w:pPr>
              <w:keepNext/>
              <w:keepLines/>
              <w:jc w:val="center"/>
              <w:rPr>
                <w:color w:val="000000"/>
                <w:sz w:val="20"/>
                <w:szCs w:val="20"/>
              </w:rPr>
            </w:pPr>
            <w:r w:rsidRPr="002454FE">
              <w:rPr>
                <w:color w:val="000000"/>
                <w:sz w:val="20"/>
                <w:szCs w:val="20"/>
              </w:rPr>
              <w:t>404</w:t>
            </w:r>
          </w:p>
        </w:tc>
        <w:tc>
          <w:tcPr>
            <w:tcW w:w="1790" w:type="dxa"/>
            <w:shd w:val="clear" w:color="auto" w:fill="auto"/>
            <w:noWrap/>
            <w:vAlign w:val="center"/>
            <w:hideMark/>
          </w:tcPr>
          <w:p w:rsidR="00DD25D0" w:rsidRPr="002454FE" w:rsidRDefault="00DD25D0" w:rsidP="003876FE">
            <w:pPr>
              <w:keepNext/>
              <w:keepLines/>
              <w:jc w:val="center"/>
              <w:rPr>
                <w:color w:val="000000"/>
                <w:sz w:val="20"/>
                <w:szCs w:val="20"/>
              </w:rPr>
            </w:pPr>
            <w:r w:rsidRPr="002454FE">
              <w:rPr>
                <w:color w:val="000000"/>
                <w:sz w:val="20"/>
                <w:szCs w:val="20"/>
              </w:rPr>
              <w:t>513</w:t>
            </w:r>
          </w:p>
        </w:tc>
      </w:tr>
      <w:tr w:rsidR="00DD25D0" w:rsidRPr="00E7186D" w:rsidTr="00DD25D0">
        <w:trPr>
          <w:trHeight w:val="260"/>
        </w:trPr>
        <w:tc>
          <w:tcPr>
            <w:tcW w:w="3517" w:type="dxa"/>
            <w:shd w:val="clear" w:color="auto" w:fill="auto"/>
            <w:noWrap/>
            <w:vAlign w:val="center"/>
            <w:hideMark/>
          </w:tcPr>
          <w:p w:rsidR="00DD25D0" w:rsidRPr="002454FE" w:rsidRDefault="00DD25D0" w:rsidP="003876FE">
            <w:pPr>
              <w:keepNext/>
              <w:keepLines/>
              <w:rPr>
                <w:color w:val="000000"/>
                <w:sz w:val="20"/>
                <w:szCs w:val="20"/>
              </w:rPr>
            </w:pPr>
            <w:r w:rsidRPr="002454FE">
              <w:rPr>
                <w:color w:val="000000"/>
                <w:sz w:val="20"/>
                <w:szCs w:val="20"/>
              </w:rPr>
              <w:t>District Hospitals</w:t>
            </w:r>
          </w:p>
        </w:tc>
        <w:tc>
          <w:tcPr>
            <w:tcW w:w="1594" w:type="dxa"/>
            <w:shd w:val="clear" w:color="auto" w:fill="auto"/>
            <w:noWrap/>
            <w:vAlign w:val="center"/>
            <w:hideMark/>
          </w:tcPr>
          <w:p w:rsidR="00DD25D0" w:rsidRPr="002454FE" w:rsidRDefault="00DD25D0" w:rsidP="003876FE">
            <w:pPr>
              <w:keepNext/>
              <w:keepLines/>
              <w:jc w:val="center"/>
              <w:rPr>
                <w:color w:val="000000"/>
                <w:sz w:val="20"/>
                <w:szCs w:val="20"/>
              </w:rPr>
            </w:pPr>
            <w:r w:rsidRPr="002454FE">
              <w:rPr>
                <w:color w:val="000000"/>
                <w:sz w:val="20"/>
                <w:szCs w:val="20"/>
              </w:rPr>
              <w:t>987</w:t>
            </w:r>
          </w:p>
        </w:tc>
        <w:tc>
          <w:tcPr>
            <w:tcW w:w="1790" w:type="dxa"/>
            <w:shd w:val="clear" w:color="auto" w:fill="auto"/>
            <w:noWrap/>
            <w:vAlign w:val="center"/>
            <w:hideMark/>
          </w:tcPr>
          <w:p w:rsidR="00DD25D0" w:rsidRPr="002454FE" w:rsidRDefault="00DD25D0" w:rsidP="003876FE">
            <w:pPr>
              <w:keepNext/>
              <w:keepLines/>
              <w:jc w:val="center"/>
              <w:rPr>
                <w:color w:val="000000"/>
                <w:sz w:val="20"/>
                <w:szCs w:val="20"/>
              </w:rPr>
            </w:pPr>
            <w:r w:rsidRPr="002454FE">
              <w:rPr>
                <w:color w:val="000000"/>
                <w:sz w:val="20"/>
                <w:szCs w:val="20"/>
              </w:rPr>
              <w:t>789</w:t>
            </w:r>
          </w:p>
        </w:tc>
        <w:tc>
          <w:tcPr>
            <w:tcW w:w="1790" w:type="dxa"/>
            <w:shd w:val="clear" w:color="auto" w:fill="auto"/>
            <w:noWrap/>
            <w:vAlign w:val="center"/>
            <w:hideMark/>
          </w:tcPr>
          <w:p w:rsidR="00DD25D0" w:rsidRPr="002454FE" w:rsidRDefault="00DD25D0" w:rsidP="003876FE">
            <w:pPr>
              <w:keepNext/>
              <w:keepLines/>
              <w:jc w:val="center"/>
              <w:rPr>
                <w:color w:val="000000"/>
                <w:sz w:val="20"/>
                <w:szCs w:val="20"/>
              </w:rPr>
            </w:pPr>
            <w:r>
              <w:rPr>
                <w:color w:val="000000"/>
                <w:sz w:val="20"/>
                <w:szCs w:val="20"/>
              </w:rPr>
              <w:t xml:space="preserve">1 </w:t>
            </w:r>
            <w:r w:rsidRPr="002454FE">
              <w:rPr>
                <w:color w:val="000000"/>
                <w:sz w:val="20"/>
                <w:szCs w:val="20"/>
              </w:rPr>
              <w:t>202</w:t>
            </w:r>
          </w:p>
        </w:tc>
      </w:tr>
      <w:tr w:rsidR="00DD25D0" w:rsidRPr="00E7186D" w:rsidTr="00DD25D0">
        <w:trPr>
          <w:trHeight w:val="300"/>
        </w:trPr>
        <w:tc>
          <w:tcPr>
            <w:tcW w:w="3517" w:type="dxa"/>
            <w:shd w:val="clear" w:color="auto" w:fill="auto"/>
            <w:noWrap/>
            <w:vAlign w:val="center"/>
            <w:hideMark/>
          </w:tcPr>
          <w:p w:rsidR="00DD25D0" w:rsidRPr="00253869" w:rsidRDefault="00DD25D0" w:rsidP="003876FE">
            <w:pPr>
              <w:keepNext/>
              <w:keepLines/>
              <w:rPr>
                <w:b/>
                <w:color w:val="000000"/>
                <w:sz w:val="20"/>
                <w:szCs w:val="20"/>
              </w:rPr>
            </w:pPr>
            <w:proofErr w:type="spellStart"/>
            <w:r w:rsidRPr="00253869">
              <w:rPr>
                <w:b/>
                <w:color w:val="000000"/>
                <w:sz w:val="20"/>
                <w:szCs w:val="20"/>
              </w:rPr>
              <w:t>Total</w:t>
            </w:r>
            <w:r w:rsidRPr="002E13DB">
              <w:rPr>
                <w:b/>
                <w:color w:val="000000"/>
                <w:sz w:val="20"/>
                <w:szCs w:val="20"/>
                <w:vertAlign w:val="superscript"/>
              </w:rPr>
              <w:t>a</w:t>
            </w:r>
            <w:proofErr w:type="spellEnd"/>
          </w:p>
        </w:tc>
        <w:tc>
          <w:tcPr>
            <w:tcW w:w="1594" w:type="dxa"/>
            <w:shd w:val="clear" w:color="auto" w:fill="auto"/>
            <w:noWrap/>
            <w:vAlign w:val="center"/>
            <w:hideMark/>
          </w:tcPr>
          <w:p w:rsidR="00DD25D0" w:rsidRPr="00253869" w:rsidRDefault="00DD25D0" w:rsidP="003876FE">
            <w:pPr>
              <w:keepNext/>
              <w:keepLines/>
              <w:jc w:val="center"/>
              <w:rPr>
                <w:b/>
                <w:color w:val="000000"/>
                <w:sz w:val="20"/>
                <w:szCs w:val="20"/>
              </w:rPr>
            </w:pPr>
            <w:r w:rsidRPr="00253869">
              <w:rPr>
                <w:b/>
                <w:color w:val="000000"/>
                <w:sz w:val="20"/>
                <w:szCs w:val="20"/>
              </w:rPr>
              <w:t>1 498</w:t>
            </w:r>
          </w:p>
        </w:tc>
        <w:tc>
          <w:tcPr>
            <w:tcW w:w="1790" w:type="dxa"/>
            <w:shd w:val="clear" w:color="auto" w:fill="auto"/>
            <w:noWrap/>
            <w:vAlign w:val="center"/>
            <w:hideMark/>
          </w:tcPr>
          <w:p w:rsidR="00DD25D0" w:rsidRPr="00253869" w:rsidRDefault="00DD25D0" w:rsidP="003876FE">
            <w:pPr>
              <w:keepNext/>
              <w:keepLines/>
              <w:jc w:val="center"/>
              <w:rPr>
                <w:b/>
                <w:color w:val="000000"/>
                <w:sz w:val="20"/>
                <w:szCs w:val="20"/>
              </w:rPr>
            </w:pPr>
            <w:r w:rsidRPr="00253869">
              <w:rPr>
                <w:b/>
                <w:color w:val="000000"/>
                <w:sz w:val="20"/>
                <w:szCs w:val="20"/>
              </w:rPr>
              <w:t>1 402</w:t>
            </w:r>
          </w:p>
        </w:tc>
        <w:tc>
          <w:tcPr>
            <w:tcW w:w="1790" w:type="dxa"/>
            <w:shd w:val="clear" w:color="auto" w:fill="auto"/>
            <w:noWrap/>
            <w:vAlign w:val="center"/>
            <w:hideMark/>
          </w:tcPr>
          <w:p w:rsidR="00DD25D0" w:rsidRPr="00253869" w:rsidRDefault="00DD25D0" w:rsidP="003876FE">
            <w:pPr>
              <w:keepNext/>
              <w:keepLines/>
              <w:jc w:val="center"/>
              <w:rPr>
                <w:b/>
                <w:color w:val="000000"/>
                <w:sz w:val="20"/>
                <w:szCs w:val="20"/>
              </w:rPr>
            </w:pPr>
            <w:r w:rsidRPr="00253869">
              <w:rPr>
                <w:b/>
                <w:color w:val="000000"/>
                <w:sz w:val="20"/>
                <w:szCs w:val="20"/>
              </w:rPr>
              <w:t>1 836</w:t>
            </w:r>
          </w:p>
        </w:tc>
      </w:tr>
    </w:tbl>
    <w:p w:rsidR="00DD25D0" w:rsidRPr="00CA75E3" w:rsidRDefault="00DD25D0" w:rsidP="00DD25D0">
      <w:pPr>
        <w:ind w:left="720" w:firstLine="720"/>
        <w:jc w:val="both"/>
        <w:outlineLvl w:val="0"/>
        <w:rPr>
          <w:sz w:val="16"/>
          <w:szCs w:val="16"/>
        </w:rPr>
      </w:pPr>
      <w:proofErr w:type="gramStart"/>
      <w:r w:rsidRPr="002E13DB">
        <w:rPr>
          <w:sz w:val="24"/>
          <w:vertAlign w:val="superscript"/>
        </w:rPr>
        <w:t>a</w:t>
      </w:r>
      <w:proofErr w:type="gramEnd"/>
      <w:r>
        <w:rPr>
          <w:sz w:val="24"/>
          <w:vertAlign w:val="superscript"/>
        </w:rPr>
        <w:t xml:space="preserve"> </w:t>
      </w:r>
      <w:r w:rsidRPr="00CA75E3">
        <w:rPr>
          <w:sz w:val="16"/>
          <w:szCs w:val="16"/>
        </w:rPr>
        <w:t>Totals are slightly lower than in Table 2 as a small number of deaths are reported from Primary Health Care facilities</w:t>
      </w:r>
    </w:p>
    <w:p w:rsidR="00DD25D0" w:rsidRPr="00E7186D" w:rsidRDefault="00DD25D0" w:rsidP="00DD25D0">
      <w:pPr>
        <w:ind w:left="1440" w:hanging="720"/>
        <w:jc w:val="both"/>
        <w:outlineLvl w:val="0"/>
        <w:rPr>
          <w:sz w:val="24"/>
        </w:rPr>
      </w:pPr>
    </w:p>
    <w:p w:rsidR="00DD25D0" w:rsidRDefault="00DD25D0" w:rsidP="00DD25D0">
      <w:pPr>
        <w:pStyle w:val="ListParagraph"/>
        <w:numPr>
          <w:ilvl w:val="0"/>
          <w:numId w:val="38"/>
        </w:numPr>
        <w:ind w:left="1418" w:hanging="720"/>
        <w:jc w:val="both"/>
        <w:outlineLvl w:val="0"/>
        <w:rPr>
          <w:sz w:val="24"/>
        </w:rPr>
      </w:pPr>
      <w:r w:rsidRPr="00E7186D">
        <w:rPr>
          <w:sz w:val="24"/>
        </w:rPr>
        <w:t xml:space="preserve">Diarrhoea and pneumonia result from infections. Children with weakened immune systems (due to </w:t>
      </w:r>
      <w:proofErr w:type="spellStart"/>
      <w:r w:rsidRPr="00E7186D">
        <w:rPr>
          <w:sz w:val="24"/>
        </w:rPr>
        <w:t>undernutrition</w:t>
      </w:r>
      <w:proofErr w:type="spellEnd"/>
      <w:r w:rsidRPr="00E7186D">
        <w:rPr>
          <w:sz w:val="24"/>
        </w:rPr>
        <w:t xml:space="preserve"> or other conditions such as HIV infection) are more likely to acquire these infections, which are in turn more likely to be severe (and result in hospitalisation and/or death). Children whose nutritional intake is less than their nutritional requirements are at risk of developing severe acute malnutrition; this often results from a combination</w:t>
      </w:r>
      <w:r w:rsidRPr="002D1331">
        <w:rPr>
          <w:sz w:val="24"/>
        </w:rPr>
        <w:t xml:space="preserve"> of poor food intake (due to unavailability of food and/or poor feeding) and repeated infections.</w:t>
      </w:r>
    </w:p>
    <w:p w:rsidR="00DD25D0" w:rsidRPr="002D1331" w:rsidRDefault="00DD25D0" w:rsidP="00DD25D0">
      <w:pPr>
        <w:pStyle w:val="ListParagraph"/>
        <w:jc w:val="both"/>
        <w:outlineLvl w:val="0"/>
        <w:rPr>
          <w:sz w:val="24"/>
        </w:rPr>
      </w:pPr>
    </w:p>
    <w:p w:rsidR="00DD25D0" w:rsidRDefault="00DD25D0" w:rsidP="00DD25D0">
      <w:pPr>
        <w:pStyle w:val="ListParagraph"/>
        <w:numPr>
          <w:ilvl w:val="0"/>
          <w:numId w:val="38"/>
        </w:numPr>
        <w:ind w:left="1418" w:hanging="720"/>
        <w:jc w:val="both"/>
        <w:rPr>
          <w:sz w:val="24"/>
        </w:rPr>
      </w:pPr>
      <w:r w:rsidRPr="002D1331">
        <w:rPr>
          <w:sz w:val="24"/>
        </w:rPr>
        <w:lastRenderedPageBreak/>
        <w:t xml:space="preserve">The </w:t>
      </w:r>
      <w:r>
        <w:rPr>
          <w:sz w:val="24"/>
        </w:rPr>
        <w:t>reduction in the number of deaths in children due to diarrhoea, pneumonia and SAM can be attributed to implementation of the following child survival interventions</w:t>
      </w:r>
      <w:r w:rsidRPr="002D1331">
        <w:rPr>
          <w:sz w:val="24"/>
        </w:rPr>
        <w:t>:</w:t>
      </w:r>
    </w:p>
    <w:p w:rsidR="00DD25D0" w:rsidRPr="006D2C06" w:rsidRDefault="00DD25D0" w:rsidP="00DD25D0">
      <w:pPr>
        <w:jc w:val="both"/>
        <w:rPr>
          <w:sz w:val="24"/>
        </w:rPr>
      </w:pPr>
    </w:p>
    <w:p w:rsidR="00DD25D0" w:rsidRDefault="00DD25D0" w:rsidP="00DD25D0">
      <w:pPr>
        <w:pStyle w:val="ListParagraph"/>
        <w:numPr>
          <w:ilvl w:val="0"/>
          <w:numId w:val="36"/>
        </w:numPr>
        <w:spacing w:after="240"/>
        <w:ind w:left="2127" w:hanging="720"/>
        <w:contextualSpacing w:val="0"/>
        <w:jc w:val="both"/>
        <w:outlineLvl w:val="0"/>
        <w:rPr>
          <w:sz w:val="24"/>
        </w:rPr>
      </w:pPr>
      <w:r>
        <w:rPr>
          <w:sz w:val="24"/>
        </w:rPr>
        <w:t xml:space="preserve">Prevention of Mother to Child Transmission (PMTCT) of HIV. </w:t>
      </w:r>
    </w:p>
    <w:p w:rsidR="00DD25D0" w:rsidRDefault="00DD25D0" w:rsidP="00DD25D0">
      <w:pPr>
        <w:pStyle w:val="ListParagraph"/>
        <w:numPr>
          <w:ilvl w:val="0"/>
          <w:numId w:val="36"/>
        </w:numPr>
        <w:spacing w:after="240"/>
        <w:ind w:left="2127" w:hanging="720"/>
        <w:contextualSpacing w:val="0"/>
        <w:jc w:val="both"/>
        <w:outlineLvl w:val="0"/>
        <w:rPr>
          <w:sz w:val="24"/>
        </w:rPr>
      </w:pPr>
      <w:r>
        <w:rPr>
          <w:sz w:val="24"/>
        </w:rPr>
        <w:t>Inclusion of p</w:t>
      </w:r>
      <w:r w:rsidRPr="00332E92">
        <w:rPr>
          <w:sz w:val="24"/>
        </w:rPr>
        <w:t xml:space="preserve">neumococcal and rotavirus </w:t>
      </w:r>
      <w:r>
        <w:rPr>
          <w:sz w:val="24"/>
        </w:rPr>
        <w:t>vaccines in the routine immunisation programme</w:t>
      </w:r>
      <w:r w:rsidRPr="00332E92">
        <w:rPr>
          <w:sz w:val="24"/>
        </w:rPr>
        <w:t xml:space="preserve">. In 2014/15, 89.8% of children </w:t>
      </w:r>
      <w:proofErr w:type="gramStart"/>
      <w:r w:rsidRPr="00332E92">
        <w:rPr>
          <w:sz w:val="24"/>
        </w:rPr>
        <w:t>under</w:t>
      </w:r>
      <w:proofErr w:type="gramEnd"/>
      <w:r w:rsidRPr="00332E92">
        <w:rPr>
          <w:sz w:val="24"/>
        </w:rPr>
        <w:t xml:space="preserve"> one year of age had received all the recommended immunisations.</w:t>
      </w:r>
    </w:p>
    <w:p w:rsidR="00DD25D0" w:rsidRPr="00332E92" w:rsidRDefault="00DD25D0" w:rsidP="00DD25D0">
      <w:pPr>
        <w:pStyle w:val="ListParagraph"/>
        <w:numPr>
          <w:ilvl w:val="0"/>
          <w:numId w:val="36"/>
        </w:numPr>
        <w:spacing w:after="240"/>
        <w:ind w:left="2127" w:hanging="720"/>
        <w:contextualSpacing w:val="0"/>
        <w:jc w:val="both"/>
        <w:outlineLvl w:val="0"/>
        <w:rPr>
          <w:sz w:val="24"/>
        </w:rPr>
      </w:pPr>
      <w:r>
        <w:rPr>
          <w:sz w:val="24"/>
        </w:rPr>
        <w:t xml:space="preserve">Promotion of breastfeeding as outlined in the </w:t>
      </w:r>
      <w:r w:rsidRPr="00332E92">
        <w:rPr>
          <w:sz w:val="24"/>
        </w:rPr>
        <w:t xml:space="preserve">Tshwane Declaration </w:t>
      </w:r>
      <w:r>
        <w:rPr>
          <w:sz w:val="24"/>
        </w:rPr>
        <w:t xml:space="preserve">which </w:t>
      </w:r>
      <w:r w:rsidRPr="00332E92">
        <w:rPr>
          <w:sz w:val="24"/>
        </w:rPr>
        <w:t>commits the country to promoti</w:t>
      </w:r>
      <w:r>
        <w:rPr>
          <w:sz w:val="24"/>
        </w:rPr>
        <w:t>ng breastfeeding, especially exclusive breastfeeding for the first six months of life</w:t>
      </w:r>
      <w:r w:rsidRPr="00332E92">
        <w:rPr>
          <w:sz w:val="24"/>
        </w:rPr>
        <w:t>. In 2014/15, 45.1% of children were reported to be exclusively breastfed at 14 weeks of age. This represents a substantial improvement, but further improvements are required.</w:t>
      </w:r>
    </w:p>
    <w:p w:rsidR="00DD25D0" w:rsidRPr="00332E92" w:rsidRDefault="00DD25D0" w:rsidP="00DD25D0">
      <w:pPr>
        <w:pStyle w:val="ListParagraph"/>
        <w:numPr>
          <w:ilvl w:val="0"/>
          <w:numId w:val="36"/>
        </w:numPr>
        <w:spacing w:after="240"/>
        <w:ind w:left="2127" w:hanging="720"/>
        <w:contextualSpacing w:val="0"/>
        <w:jc w:val="both"/>
        <w:outlineLvl w:val="0"/>
        <w:rPr>
          <w:sz w:val="24"/>
        </w:rPr>
      </w:pPr>
      <w:r>
        <w:rPr>
          <w:sz w:val="24"/>
        </w:rPr>
        <w:t xml:space="preserve">Provision of micronutrients through food fortification and Vitamin A supplementation. </w:t>
      </w:r>
      <w:r w:rsidRPr="00332E92">
        <w:rPr>
          <w:sz w:val="24"/>
        </w:rPr>
        <w:t xml:space="preserve">In 2014/15, 52.2% of children aged 1 – 5 years received </w:t>
      </w:r>
      <w:r>
        <w:rPr>
          <w:sz w:val="24"/>
        </w:rPr>
        <w:t xml:space="preserve">the recommended two doses of supplementary </w:t>
      </w:r>
      <w:r w:rsidRPr="00332E92">
        <w:rPr>
          <w:sz w:val="24"/>
        </w:rPr>
        <w:t>Vitamin A.</w:t>
      </w:r>
    </w:p>
    <w:p w:rsidR="00DD25D0" w:rsidRPr="002D1331" w:rsidRDefault="00DD25D0" w:rsidP="00DD25D0">
      <w:pPr>
        <w:pStyle w:val="ListParagraph"/>
        <w:numPr>
          <w:ilvl w:val="0"/>
          <w:numId w:val="36"/>
        </w:numPr>
        <w:spacing w:after="240"/>
        <w:ind w:left="2127" w:hanging="720"/>
        <w:contextualSpacing w:val="0"/>
        <w:jc w:val="both"/>
        <w:outlineLvl w:val="0"/>
        <w:rPr>
          <w:sz w:val="24"/>
        </w:rPr>
      </w:pPr>
      <w:r>
        <w:rPr>
          <w:sz w:val="24"/>
        </w:rPr>
        <w:t>Monitoring of the growth of children using the Road-to-Health booklet and ensuring that c</w:t>
      </w:r>
      <w:r w:rsidRPr="002D1331">
        <w:rPr>
          <w:sz w:val="24"/>
        </w:rPr>
        <w:t xml:space="preserve">hildren with growth faltering and </w:t>
      </w:r>
      <w:r>
        <w:rPr>
          <w:sz w:val="24"/>
        </w:rPr>
        <w:t xml:space="preserve">mild or moderate malnutrition </w:t>
      </w:r>
      <w:r w:rsidRPr="002D1331">
        <w:rPr>
          <w:sz w:val="24"/>
        </w:rPr>
        <w:t>receive nutritional supplements</w:t>
      </w:r>
      <w:r>
        <w:rPr>
          <w:sz w:val="24"/>
        </w:rPr>
        <w:t>.</w:t>
      </w:r>
    </w:p>
    <w:p w:rsidR="00DD25D0" w:rsidRPr="002D1331" w:rsidRDefault="00DD25D0" w:rsidP="00DD25D0">
      <w:pPr>
        <w:pStyle w:val="ListParagraph"/>
        <w:numPr>
          <w:ilvl w:val="0"/>
          <w:numId w:val="36"/>
        </w:numPr>
        <w:spacing w:after="240"/>
        <w:ind w:left="2127" w:hanging="720"/>
        <w:contextualSpacing w:val="0"/>
        <w:jc w:val="both"/>
        <w:outlineLvl w:val="0"/>
        <w:rPr>
          <w:sz w:val="24"/>
        </w:rPr>
      </w:pPr>
      <w:r>
        <w:rPr>
          <w:sz w:val="24"/>
        </w:rPr>
        <w:t xml:space="preserve">Correct </w:t>
      </w:r>
      <w:r w:rsidRPr="002D1331">
        <w:rPr>
          <w:sz w:val="24"/>
        </w:rPr>
        <w:t>management of children with diarrhoea, pneumonia and SAM at all levels of the health system. District Clinical Specialist Teams have been appointed in all districts. One of their key functions is to ensure the quality of clinical care provided in health facilities.</w:t>
      </w:r>
    </w:p>
    <w:p w:rsidR="00DD25D0" w:rsidRDefault="00DD25D0" w:rsidP="00DD25D0">
      <w:pPr>
        <w:pStyle w:val="ListParagraph"/>
        <w:numPr>
          <w:ilvl w:val="0"/>
          <w:numId w:val="36"/>
        </w:numPr>
        <w:spacing w:after="240"/>
        <w:ind w:left="2127" w:hanging="720"/>
        <w:contextualSpacing w:val="0"/>
        <w:jc w:val="both"/>
        <w:outlineLvl w:val="0"/>
        <w:rPr>
          <w:sz w:val="24"/>
        </w:rPr>
      </w:pPr>
      <w:r>
        <w:rPr>
          <w:sz w:val="24"/>
        </w:rPr>
        <w:t xml:space="preserve">Promotion of hand washing: the </w:t>
      </w:r>
      <w:r w:rsidRPr="00332E92">
        <w:rPr>
          <w:sz w:val="24"/>
        </w:rPr>
        <w:t>Health Promotion Directorate is currently implementing a hand-washing campaign.</w:t>
      </w:r>
    </w:p>
    <w:p w:rsidR="00DD25D0" w:rsidRDefault="00DD25D0" w:rsidP="00DD25D0">
      <w:pPr>
        <w:pStyle w:val="ListParagraph"/>
        <w:numPr>
          <w:ilvl w:val="0"/>
          <w:numId w:val="37"/>
        </w:numPr>
        <w:ind w:hanging="720"/>
        <w:jc w:val="both"/>
        <w:outlineLvl w:val="0"/>
        <w:rPr>
          <w:sz w:val="24"/>
        </w:rPr>
      </w:pPr>
      <w:r w:rsidRPr="002D1331">
        <w:rPr>
          <w:sz w:val="24"/>
        </w:rPr>
        <w:t xml:space="preserve">Many other departments and stakeholders are involved in efforts to improve child survival and health. </w:t>
      </w:r>
    </w:p>
    <w:p w:rsidR="00DD25D0" w:rsidRDefault="00DD25D0" w:rsidP="00DD25D0">
      <w:pPr>
        <w:pStyle w:val="ListParagraph"/>
        <w:jc w:val="both"/>
        <w:outlineLvl w:val="0"/>
        <w:rPr>
          <w:sz w:val="24"/>
        </w:rPr>
      </w:pPr>
    </w:p>
    <w:p w:rsidR="00DD25D0" w:rsidRDefault="00DD25D0" w:rsidP="00DD25D0">
      <w:pPr>
        <w:pStyle w:val="ListParagraph"/>
        <w:jc w:val="both"/>
        <w:outlineLvl w:val="0"/>
        <w:rPr>
          <w:sz w:val="24"/>
        </w:rPr>
      </w:pPr>
      <w:r w:rsidRPr="00AA25AC">
        <w:rPr>
          <w:sz w:val="24"/>
        </w:rPr>
        <w:t>Two of the mo</w:t>
      </w:r>
      <w:r>
        <w:rPr>
          <w:sz w:val="24"/>
        </w:rPr>
        <w:t xml:space="preserve">st important </w:t>
      </w:r>
      <w:r w:rsidRPr="00AA25AC">
        <w:rPr>
          <w:sz w:val="24"/>
        </w:rPr>
        <w:t xml:space="preserve">departments are the Departments of Social Development (DSD) and the Department of Water and Sanitation (DWS). </w:t>
      </w:r>
      <w:r>
        <w:rPr>
          <w:sz w:val="24"/>
        </w:rPr>
        <w:t xml:space="preserve">DSD </w:t>
      </w:r>
      <w:r w:rsidRPr="00AA25AC">
        <w:rPr>
          <w:sz w:val="24"/>
        </w:rPr>
        <w:t>has led the development of the Ear</w:t>
      </w:r>
      <w:r>
        <w:rPr>
          <w:sz w:val="24"/>
        </w:rPr>
        <w:t xml:space="preserve">ly Childhood Development policy, and also ensures that vulnerable children receive child support grants. </w:t>
      </w:r>
      <w:r w:rsidRPr="002D1331">
        <w:rPr>
          <w:sz w:val="24"/>
        </w:rPr>
        <w:t xml:space="preserve">The </w:t>
      </w:r>
      <w:r>
        <w:rPr>
          <w:sz w:val="24"/>
        </w:rPr>
        <w:t>DWS p</w:t>
      </w:r>
      <w:r w:rsidRPr="002D1331">
        <w:rPr>
          <w:sz w:val="24"/>
        </w:rPr>
        <w:t>lays a critical role in improving acces</w:t>
      </w:r>
      <w:r>
        <w:rPr>
          <w:sz w:val="24"/>
        </w:rPr>
        <w:t>s to clean water and sanitation for children and their families.</w:t>
      </w:r>
    </w:p>
    <w:p w:rsidR="00DD25D0" w:rsidRDefault="00DD25D0" w:rsidP="00DD25D0">
      <w:pPr>
        <w:ind w:left="720"/>
        <w:jc w:val="both"/>
        <w:outlineLvl w:val="0"/>
        <w:rPr>
          <w:sz w:val="24"/>
        </w:rPr>
      </w:pPr>
    </w:p>
    <w:p w:rsidR="00012AE9" w:rsidRPr="0001461E" w:rsidRDefault="00DD25D0" w:rsidP="00DD25D0">
      <w:pPr>
        <w:spacing w:after="240"/>
        <w:ind w:left="720"/>
        <w:jc w:val="both"/>
        <w:rPr>
          <w:sz w:val="24"/>
        </w:rPr>
      </w:pPr>
      <w:r>
        <w:rPr>
          <w:sz w:val="24"/>
        </w:rPr>
        <w:t xml:space="preserve">The Department also works with a range of partners. These include United Nations Agencies (e.g. the United Nations Children’s Fund (UNICEF) and the World Health Organization (WHO)), other technical assistance partners (e.g. Save the Children, PATH, </w:t>
      </w:r>
      <w:proofErr w:type="gramStart"/>
      <w:r>
        <w:rPr>
          <w:sz w:val="24"/>
        </w:rPr>
        <w:t>FH360</w:t>
      </w:r>
      <w:proofErr w:type="gramEnd"/>
      <w:r>
        <w:rPr>
          <w:sz w:val="24"/>
        </w:rPr>
        <w:t xml:space="preserve">), academic and research institutions (e.g. the Medical Research Council) and private sector partners (e.g. Discovery Health).  </w:t>
      </w:r>
    </w:p>
    <w:p w:rsidR="00012AE9" w:rsidRPr="0001461E" w:rsidRDefault="00012AE9" w:rsidP="00D81183">
      <w:pPr>
        <w:pStyle w:val="BodyText"/>
        <w:rPr>
          <w:sz w:val="24"/>
          <w:lang w:val="en-GB"/>
        </w:rPr>
      </w:pPr>
    </w:p>
    <w:p w:rsidR="00E238C2" w:rsidRPr="0001461E" w:rsidRDefault="00E238C2" w:rsidP="00D81183">
      <w:pPr>
        <w:pStyle w:val="BodyText"/>
        <w:rPr>
          <w:b/>
          <w:bCs/>
          <w:sz w:val="24"/>
          <w:lang w:val="en-GB"/>
        </w:rPr>
      </w:pPr>
      <w:r w:rsidRPr="0001461E">
        <w:rPr>
          <w:sz w:val="24"/>
          <w:lang w:val="en-GB"/>
        </w:rPr>
        <w:t>END.</w:t>
      </w:r>
    </w:p>
    <w:sectPr w:rsidR="00E238C2"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21" w:rsidRDefault="006A1D21">
      <w:r>
        <w:separator/>
      </w:r>
    </w:p>
  </w:endnote>
  <w:endnote w:type="continuationSeparator" w:id="0">
    <w:p w:rsidR="006A1D21" w:rsidRDefault="006A1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C645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C645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82218">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21" w:rsidRDefault="006A1D21">
      <w:r>
        <w:separator/>
      </w:r>
    </w:p>
  </w:footnote>
  <w:footnote w:type="continuationSeparator" w:id="0">
    <w:p w:rsidR="006A1D21" w:rsidRDefault="006A1D21">
      <w:r>
        <w:continuationSeparator/>
      </w:r>
    </w:p>
  </w:footnote>
  <w:footnote w:id="1">
    <w:p w:rsidR="00DD25D0" w:rsidRPr="00253869" w:rsidRDefault="00DD25D0" w:rsidP="00DD25D0">
      <w:pPr>
        <w:autoSpaceDE w:val="0"/>
        <w:autoSpaceDN w:val="0"/>
        <w:adjustRightInd w:val="0"/>
        <w:rPr>
          <w:sz w:val="16"/>
          <w:szCs w:val="16"/>
          <w:lang w:val="en-US"/>
        </w:rPr>
      </w:pPr>
      <w:r w:rsidRPr="00253869">
        <w:rPr>
          <w:rStyle w:val="FootnoteReference"/>
          <w:sz w:val="16"/>
          <w:szCs w:val="16"/>
        </w:rPr>
        <w:footnoteRef/>
      </w:r>
      <w:r w:rsidRPr="00253869">
        <w:rPr>
          <w:sz w:val="16"/>
          <w:szCs w:val="16"/>
        </w:rPr>
        <w:t xml:space="preserve"> </w:t>
      </w:r>
      <w:proofErr w:type="spellStart"/>
      <w:r w:rsidRPr="00253869">
        <w:rPr>
          <w:rFonts w:eastAsiaTheme="minorHAnsi"/>
          <w:sz w:val="16"/>
          <w:szCs w:val="16"/>
          <w:lang w:val="en-US"/>
        </w:rPr>
        <w:t>Massyn</w:t>
      </w:r>
      <w:proofErr w:type="spellEnd"/>
      <w:r w:rsidRPr="00253869">
        <w:rPr>
          <w:rFonts w:eastAsiaTheme="minorHAnsi"/>
          <w:sz w:val="16"/>
          <w:szCs w:val="16"/>
          <w:lang w:val="en-US"/>
        </w:rPr>
        <w:t xml:space="preserve"> N, Peer N, </w:t>
      </w:r>
      <w:proofErr w:type="spellStart"/>
      <w:r w:rsidRPr="00253869">
        <w:rPr>
          <w:rFonts w:eastAsiaTheme="minorHAnsi"/>
          <w:sz w:val="16"/>
          <w:szCs w:val="16"/>
          <w:lang w:val="en-US"/>
        </w:rPr>
        <w:t>Padarath</w:t>
      </w:r>
      <w:proofErr w:type="spellEnd"/>
      <w:r w:rsidRPr="00253869">
        <w:rPr>
          <w:rFonts w:eastAsiaTheme="minorHAnsi"/>
          <w:sz w:val="16"/>
          <w:szCs w:val="16"/>
          <w:lang w:val="en-US"/>
        </w:rPr>
        <w:t xml:space="preserve"> A, Barron P, Day C, editors. District Health Barometer 2014/15. Durban: Health Systems Trust; October 2015.</w:t>
      </w:r>
    </w:p>
  </w:footnote>
  <w:footnote w:id="2">
    <w:p w:rsidR="00DD25D0" w:rsidRPr="00CA75E3" w:rsidRDefault="00DD25D0" w:rsidP="00DD25D0">
      <w:pPr>
        <w:autoSpaceDE w:val="0"/>
        <w:autoSpaceDN w:val="0"/>
        <w:adjustRightInd w:val="0"/>
        <w:rPr>
          <w:sz w:val="16"/>
          <w:szCs w:val="16"/>
          <w:lang w:val="en-US"/>
        </w:rPr>
      </w:pPr>
      <w:r>
        <w:rPr>
          <w:rStyle w:val="FootnoteReference"/>
        </w:rPr>
        <w:footnoteRef/>
      </w:r>
      <w:r>
        <w:t xml:space="preserve"> </w:t>
      </w:r>
      <w:proofErr w:type="spellStart"/>
      <w:r w:rsidRPr="00253869">
        <w:rPr>
          <w:rFonts w:eastAsiaTheme="minorHAnsi"/>
          <w:sz w:val="16"/>
          <w:szCs w:val="16"/>
          <w:lang w:val="en-US"/>
        </w:rPr>
        <w:t>Massyn</w:t>
      </w:r>
      <w:proofErr w:type="spellEnd"/>
      <w:r w:rsidRPr="00253869">
        <w:rPr>
          <w:rFonts w:eastAsiaTheme="minorHAnsi"/>
          <w:sz w:val="16"/>
          <w:szCs w:val="16"/>
          <w:lang w:val="en-US"/>
        </w:rPr>
        <w:t xml:space="preserve"> N, Peer N, </w:t>
      </w:r>
      <w:proofErr w:type="spellStart"/>
      <w:r w:rsidRPr="00253869">
        <w:rPr>
          <w:rFonts w:eastAsiaTheme="minorHAnsi"/>
          <w:sz w:val="16"/>
          <w:szCs w:val="16"/>
          <w:lang w:val="en-US"/>
        </w:rPr>
        <w:t>Padarath</w:t>
      </w:r>
      <w:proofErr w:type="spellEnd"/>
      <w:r w:rsidRPr="00253869">
        <w:rPr>
          <w:rFonts w:eastAsiaTheme="minorHAnsi"/>
          <w:sz w:val="16"/>
          <w:szCs w:val="16"/>
          <w:lang w:val="en-US"/>
        </w:rPr>
        <w:t xml:space="preserve"> A, Barron P, Day C, editors. District Health Barometer 2014/15. Durban: Health Systems Trust; October 2015.</w:t>
      </w:r>
    </w:p>
  </w:footnote>
  <w:footnote w:id="3">
    <w:p w:rsidR="00DD25D0" w:rsidRPr="00253869" w:rsidRDefault="00DD25D0" w:rsidP="00DD25D0">
      <w:pPr>
        <w:pStyle w:val="FootnoteText"/>
        <w:ind w:left="0" w:firstLine="0"/>
        <w:rPr>
          <w:rFonts w:ascii="Arial" w:hAnsi="Arial" w:cs="Arial"/>
          <w:sz w:val="16"/>
          <w:szCs w:val="16"/>
          <w:lang w:val="en-US"/>
        </w:rPr>
      </w:pPr>
      <w:r>
        <w:rPr>
          <w:rStyle w:val="FootnoteReference"/>
        </w:rPr>
        <w:footnoteRef/>
      </w:r>
      <w:r>
        <w:t xml:space="preserve"> </w:t>
      </w:r>
      <w:proofErr w:type="gramStart"/>
      <w:r w:rsidRPr="00253869">
        <w:rPr>
          <w:rFonts w:ascii="Arial" w:hAnsi="Arial" w:cs="Arial"/>
          <w:sz w:val="16"/>
          <w:szCs w:val="16"/>
          <w:lang w:val="en-US"/>
        </w:rPr>
        <w:t>District Health Information.</w:t>
      </w:r>
      <w:proofErr w:type="gramEnd"/>
      <w:r w:rsidRPr="00253869">
        <w:rPr>
          <w:rFonts w:ascii="Arial" w:hAnsi="Arial" w:cs="Arial"/>
          <w:sz w:val="16"/>
          <w:szCs w:val="16"/>
          <w:lang w:val="en-US"/>
        </w:rPr>
        <w:t xml:space="preserve"> </w:t>
      </w:r>
      <w:proofErr w:type="gramStart"/>
      <w:r w:rsidRPr="00253869">
        <w:rPr>
          <w:rFonts w:ascii="Arial" w:hAnsi="Arial" w:cs="Arial"/>
          <w:sz w:val="16"/>
          <w:szCs w:val="16"/>
          <w:lang w:val="en-US"/>
        </w:rPr>
        <w:t>Extracted 4</w:t>
      </w:r>
      <w:r w:rsidRPr="00253869">
        <w:rPr>
          <w:rFonts w:ascii="Arial" w:hAnsi="Arial" w:cs="Arial"/>
          <w:sz w:val="16"/>
          <w:szCs w:val="16"/>
          <w:vertAlign w:val="superscript"/>
          <w:lang w:val="en-US"/>
        </w:rPr>
        <w:t>th</w:t>
      </w:r>
      <w:r w:rsidRPr="00253869">
        <w:rPr>
          <w:rFonts w:ascii="Arial" w:hAnsi="Arial" w:cs="Arial"/>
          <w:sz w:val="16"/>
          <w:szCs w:val="16"/>
          <w:lang w:val="en-US"/>
        </w:rPr>
        <w:t xml:space="preserve"> November 2015.</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B1F"/>
    <w:multiLevelType w:val="hybridMultilevel"/>
    <w:tmpl w:val="AF1AEFB2"/>
    <w:lvl w:ilvl="0" w:tplc="6BE21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0728"/>
    <w:multiLevelType w:val="hybridMultilevel"/>
    <w:tmpl w:val="75420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4">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203809"/>
    <w:multiLevelType w:val="hybridMultilevel"/>
    <w:tmpl w:val="0B0C456A"/>
    <w:lvl w:ilvl="0" w:tplc="7CC8A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0B430BC"/>
    <w:multiLevelType w:val="hybridMultilevel"/>
    <w:tmpl w:val="B87C1786"/>
    <w:lvl w:ilvl="0" w:tplc="516279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D25F6"/>
    <w:multiLevelType w:val="hybridMultilevel"/>
    <w:tmpl w:val="99865368"/>
    <w:lvl w:ilvl="0" w:tplc="6276BA86">
      <w:start w:val="1"/>
      <w:numFmt w:val="lowerRoman"/>
      <w:lvlText w:val="(%1)"/>
      <w:lvlJc w:val="left"/>
      <w:pPr>
        <w:ind w:left="808" w:hanging="360"/>
      </w:pPr>
      <w:rPr>
        <w:rFonts w:hint="default"/>
      </w:rPr>
    </w:lvl>
    <w:lvl w:ilvl="1" w:tplc="04090019" w:tentative="1">
      <w:start w:val="1"/>
      <w:numFmt w:val="lowerLetter"/>
      <w:lvlText w:val="%2."/>
      <w:lvlJc w:val="left"/>
      <w:pPr>
        <w:ind w:left="1528" w:hanging="360"/>
      </w:pPr>
    </w:lvl>
    <w:lvl w:ilvl="2" w:tplc="0409001B">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7">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5">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DE173BB"/>
    <w:multiLevelType w:val="hybridMultilevel"/>
    <w:tmpl w:val="4336FE3E"/>
    <w:lvl w:ilvl="0" w:tplc="B82048E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25"/>
  </w:num>
  <w:num w:numId="6">
    <w:abstractNumId w:val="27"/>
  </w:num>
  <w:num w:numId="7">
    <w:abstractNumId w:val="22"/>
  </w:num>
  <w:num w:numId="8">
    <w:abstractNumId w:val="12"/>
  </w:num>
  <w:num w:numId="9">
    <w:abstractNumId w:val="6"/>
  </w:num>
  <w:num w:numId="10">
    <w:abstractNumId w:val="21"/>
  </w:num>
  <w:num w:numId="11">
    <w:abstractNumId w:val="32"/>
  </w:num>
  <w:num w:numId="12">
    <w:abstractNumId w:val="4"/>
  </w:num>
  <w:num w:numId="13">
    <w:abstractNumId w:val="33"/>
  </w:num>
  <w:num w:numId="14">
    <w:abstractNumId w:val="26"/>
  </w:num>
  <w:num w:numId="15">
    <w:abstractNumId w:val="7"/>
  </w:num>
  <w:num w:numId="16">
    <w:abstractNumId w:val="2"/>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8"/>
  </w:num>
  <w:num w:numId="25">
    <w:abstractNumId w:val="30"/>
  </w:num>
  <w:num w:numId="26">
    <w:abstractNumId w:val="18"/>
  </w:num>
  <w:num w:numId="27">
    <w:abstractNumId w:val="34"/>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9"/>
  </w:num>
  <w:num w:numId="32">
    <w:abstractNumId w:val="36"/>
  </w:num>
  <w:num w:numId="33">
    <w:abstractNumId w:val="14"/>
  </w:num>
  <w:num w:numId="34">
    <w:abstractNumId w:val="0"/>
  </w:num>
  <w:num w:numId="35">
    <w:abstractNumId w:val="11"/>
  </w:num>
  <w:num w:numId="36">
    <w:abstractNumId w:val="1"/>
  </w:num>
  <w:num w:numId="37">
    <w:abstractNumId w:val="15"/>
  </w:num>
  <w:num w:numId="38">
    <w:abstractNumId w:val="38"/>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6AC4"/>
    <w:rsid w:val="00007447"/>
    <w:rsid w:val="00012AE9"/>
    <w:rsid w:val="0001461E"/>
    <w:rsid w:val="000168FD"/>
    <w:rsid w:val="0004183B"/>
    <w:rsid w:val="00046EDF"/>
    <w:rsid w:val="00056AD2"/>
    <w:rsid w:val="0005730D"/>
    <w:rsid w:val="00067CC1"/>
    <w:rsid w:val="00072404"/>
    <w:rsid w:val="0007341B"/>
    <w:rsid w:val="00081C7A"/>
    <w:rsid w:val="0008767D"/>
    <w:rsid w:val="000A20B0"/>
    <w:rsid w:val="000B4AB8"/>
    <w:rsid w:val="000C6431"/>
    <w:rsid w:val="000D3FD3"/>
    <w:rsid w:val="000E0552"/>
    <w:rsid w:val="000F059B"/>
    <w:rsid w:val="000F3BF5"/>
    <w:rsid w:val="000F50B5"/>
    <w:rsid w:val="00100BB8"/>
    <w:rsid w:val="00103056"/>
    <w:rsid w:val="00103544"/>
    <w:rsid w:val="001126D2"/>
    <w:rsid w:val="00113F8E"/>
    <w:rsid w:val="00123E43"/>
    <w:rsid w:val="00150F90"/>
    <w:rsid w:val="001651E2"/>
    <w:rsid w:val="001A5759"/>
    <w:rsid w:val="001B2E9B"/>
    <w:rsid w:val="001B62F5"/>
    <w:rsid w:val="001B67CA"/>
    <w:rsid w:val="001C0252"/>
    <w:rsid w:val="001C1865"/>
    <w:rsid w:val="001C2504"/>
    <w:rsid w:val="001C2FB1"/>
    <w:rsid w:val="001C433A"/>
    <w:rsid w:val="001C440A"/>
    <w:rsid w:val="001D2E01"/>
    <w:rsid w:val="001E53FE"/>
    <w:rsid w:val="001E6713"/>
    <w:rsid w:val="001E7247"/>
    <w:rsid w:val="00202CF5"/>
    <w:rsid w:val="002242A9"/>
    <w:rsid w:val="00233C3B"/>
    <w:rsid w:val="00235525"/>
    <w:rsid w:val="0024216E"/>
    <w:rsid w:val="00267FDF"/>
    <w:rsid w:val="00275CE4"/>
    <w:rsid w:val="002A1B08"/>
    <w:rsid w:val="002A3AD8"/>
    <w:rsid w:val="002A5288"/>
    <w:rsid w:val="002B20CB"/>
    <w:rsid w:val="002B32D0"/>
    <w:rsid w:val="002C4C87"/>
    <w:rsid w:val="002E3FA9"/>
    <w:rsid w:val="002E5A19"/>
    <w:rsid w:val="002F1907"/>
    <w:rsid w:val="002F747D"/>
    <w:rsid w:val="00300051"/>
    <w:rsid w:val="00311920"/>
    <w:rsid w:val="0031798D"/>
    <w:rsid w:val="00324B4F"/>
    <w:rsid w:val="00330A1B"/>
    <w:rsid w:val="00355BB7"/>
    <w:rsid w:val="00357A10"/>
    <w:rsid w:val="00366B08"/>
    <w:rsid w:val="00366E06"/>
    <w:rsid w:val="0039184B"/>
    <w:rsid w:val="003A1B0E"/>
    <w:rsid w:val="003A1E07"/>
    <w:rsid w:val="003D6B80"/>
    <w:rsid w:val="003E0AC8"/>
    <w:rsid w:val="003E5508"/>
    <w:rsid w:val="003F3650"/>
    <w:rsid w:val="003F693D"/>
    <w:rsid w:val="003F6F06"/>
    <w:rsid w:val="0040781B"/>
    <w:rsid w:val="00430D20"/>
    <w:rsid w:val="0043313B"/>
    <w:rsid w:val="00434530"/>
    <w:rsid w:val="00435FC4"/>
    <w:rsid w:val="004456A9"/>
    <w:rsid w:val="00445863"/>
    <w:rsid w:val="0047454A"/>
    <w:rsid w:val="0048302D"/>
    <w:rsid w:val="00483FEE"/>
    <w:rsid w:val="00487E16"/>
    <w:rsid w:val="004B1268"/>
    <w:rsid w:val="004B3491"/>
    <w:rsid w:val="004B444C"/>
    <w:rsid w:val="004C5286"/>
    <w:rsid w:val="004C740F"/>
    <w:rsid w:val="004C7AB2"/>
    <w:rsid w:val="004D43A9"/>
    <w:rsid w:val="004D4DBF"/>
    <w:rsid w:val="004F42DD"/>
    <w:rsid w:val="004F7C1A"/>
    <w:rsid w:val="0050347C"/>
    <w:rsid w:val="0051126E"/>
    <w:rsid w:val="005117E9"/>
    <w:rsid w:val="005121B0"/>
    <w:rsid w:val="00515080"/>
    <w:rsid w:val="00525127"/>
    <w:rsid w:val="00540171"/>
    <w:rsid w:val="0054370C"/>
    <w:rsid w:val="005444C6"/>
    <w:rsid w:val="00547112"/>
    <w:rsid w:val="00547A64"/>
    <w:rsid w:val="00557CEE"/>
    <w:rsid w:val="0056205A"/>
    <w:rsid w:val="00570065"/>
    <w:rsid w:val="00576020"/>
    <w:rsid w:val="005937C8"/>
    <w:rsid w:val="005A6F98"/>
    <w:rsid w:val="005B52CD"/>
    <w:rsid w:val="005C171D"/>
    <w:rsid w:val="005C4284"/>
    <w:rsid w:val="005C491B"/>
    <w:rsid w:val="005D55C6"/>
    <w:rsid w:val="005E1FBC"/>
    <w:rsid w:val="00610BC7"/>
    <w:rsid w:val="006175C7"/>
    <w:rsid w:val="00623E12"/>
    <w:rsid w:val="006241CA"/>
    <w:rsid w:val="00635745"/>
    <w:rsid w:val="00635890"/>
    <w:rsid w:val="00637291"/>
    <w:rsid w:val="0063794C"/>
    <w:rsid w:val="00637EFF"/>
    <w:rsid w:val="00646F50"/>
    <w:rsid w:val="006664AE"/>
    <w:rsid w:val="006779D4"/>
    <w:rsid w:val="006A1D21"/>
    <w:rsid w:val="006C405D"/>
    <w:rsid w:val="006C6455"/>
    <w:rsid w:val="006C67FA"/>
    <w:rsid w:val="006E6C41"/>
    <w:rsid w:val="006E77B3"/>
    <w:rsid w:val="006E7C45"/>
    <w:rsid w:val="006F221E"/>
    <w:rsid w:val="006F501B"/>
    <w:rsid w:val="006F7E16"/>
    <w:rsid w:val="00721839"/>
    <w:rsid w:val="00735915"/>
    <w:rsid w:val="007427C2"/>
    <w:rsid w:val="00762416"/>
    <w:rsid w:val="00770C17"/>
    <w:rsid w:val="00771EB2"/>
    <w:rsid w:val="00773A22"/>
    <w:rsid w:val="00782218"/>
    <w:rsid w:val="007A0D02"/>
    <w:rsid w:val="007A3E1B"/>
    <w:rsid w:val="007A6FF8"/>
    <w:rsid w:val="007C1F51"/>
    <w:rsid w:val="007E6493"/>
    <w:rsid w:val="007E6896"/>
    <w:rsid w:val="007F4D0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12E9F"/>
    <w:rsid w:val="00921664"/>
    <w:rsid w:val="00925AA0"/>
    <w:rsid w:val="0092641E"/>
    <w:rsid w:val="009342E8"/>
    <w:rsid w:val="00952EC0"/>
    <w:rsid w:val="009559F8"/>
    <w:rsid w:val="009756B6"/>
    <w:rsid w:val="00975EDD"/>
    <w:rsid w:val="009855D2"/>
    <w:rsid w:val="009873B3"/>
    <w:rsid w:val="009922DD"/>
    <w:rsid w:val="00997EC4"/>
    <w:rsid w:val="009A2424"/>
    <w:rsid w:val="009A3F64"/>
    <w:rsid w:val="009B3CC1"/>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55F34"/>
    <w:rsid w:val="00A6048F"/>
    <w:rsid w:val="00A7509E"/>
    <w:rsid w:val="00A87CFA"/>
    <w:rsid w:val="00A923AD"/>
    <w:rsid w:val="00AB0EAC"/>
    <w:rsid w:val="00AB3C74"/>
    <w:rsid w:val="00AC6AC3"/>
    <w:rsid w:val="00AD5F10"/>
    <w:rsid w:val="00B0762E"/>
    <w:rsid w:val="00B1046E"/>
    <w:rsid w:val="00B2423A"/>
    <w:rsid w:val="00B30D8D"/>
    <w:rsid w:val="00B353AB"/>
    <w:rsid w:val="00B37F60"/>
    <w:rsid w:val="00B41548"/>
    <w:rsid w:val="00B519E0"/>
    <w:rsid w:val="00B561F9"/>
    <w:rsid w:val="00B6102B"/>
    <w:rsid w:val="00B63926"/>
    <w:rsid w:val="00B87D92"/>
    <w:rsid w:val="00B9163D"/>
    <w:rsid w:val="00BC6E9C"/>
    <w:rsid w:val="00BE3875"/>
    <w:rsid w:val="00BE5AF9"/>
    <w:rsid w:val="00BF35AB"/>
    <w:rsid w:val="00C0227C"/>
    <w:rsid w:val="00C063AA"/>
    <w:rsid w:val="00C26148"/>
    <w:rsid w:val="00C41194"/>
    <w:rsid w:val="00C4318A"/>
    <w:rsid w:val="00C50944"/>
    <w:rsid w:val="00C50C8D"/>
    <w:rsid w:val="00C71939"/>
    <w:rsid w:val="00C723FE"/>
    <w:rsid w:val="00C82746"/>
    <w:rsid w:val="00C82762"/>
    <w:rsid w:val="00C91D4D"/>
    <w:rsid w:val="00CA0E36"/>
    <w:rsid w:val="00CC0798"/>
    <w:rsid w:val="00CF60D1"/>
    <w:rsid w:val="00D034F1"/>
    <w:rsid w:val="00D04106"/>
    <w:rsid w:val="00D05EA8"/>
    <w:rsid w:val="00D05FA5"/>
    <w:rsid w:val="00D06D6D"/>
    <w:rsid w:val="00D07FF1"/>
    <w:rsid w:val="00D140CC"/>
    <w:rsid w:val="00D21320"/>
    <w:rsid w:val="00D50BCC"/>
    <w:rsid w:val="00D5344B"/>
    <w:rsid w:val="00D5360E"/>
    <w:rsid w:val="00D67753"/>
    <w:rsid w:val="00D75166"/>
    <w:rsid w:val="00D81183"/>
    <w:rsid w:val="00D821B8"/>
    <w:rsid w:val="00D84AEC"/>
    <w:rsid w:val="00DA3E25"/>
    <w:rsid w:val="00DA567C"/>
    <w:rsid w:val="00DA6F68"/>
    <w:rsid w:val="00DC1DD2"/>
    <w:rsid w:val="00DC2D05"/>
    <w:rsid w:val="00DC7AE6"/>
    <w:rsid w:val="00DD25D0"/>
    <w:rsid w:val="00DE233C"/>
    <w:rsid w:val="00DE4636"/>
    <w:rsid w:val="00DE787B"/>
    <w:rsid w:val="00DF0D3F"/>
    <w:rsid w:val="00DF6212"/>
    <w:rsid w:val="00DF6D41"/>
    <w:rsid w:val="00E040FD"/>
    <w:rsid w:val="00E11BD3"/>
    <w:rsid w:val="00E238C2"/>
    <w:rsid w:val="00E42417"/>
    <w:rsid w:val="00E43571"/>
    <w:rsid w:val="00E61438"/>
    <w:rsid w:val="00E61656"/>
    <w:rsid w:val="00E62560"/>
    <w:rsid w:val="00E70BD1"/>
    <w:rsid w:val="00E85240"/>
    <w:rsid w:val="00EA464E"/>
    <w:rsid w:val="00EA6F86"/>
    <w:rsid w:val="00ED527A"/>
    <w:rsid w:val="00EE56A6"/>
    <w:rsid w:val="00EF5D91"/>
    <w:rsid w:val="00EF7FEE"/>
    <w:rsid w:val="00F03C66"/>
    <w:rsid w:val="00F11C03"/>
    <w:rsid w:val="00F14236"/>
    <w:rsid w:val="00F16A86"/>
    <w:rsid w:val="00F2300D"/>
    <w:rsid w:val="00F24479"/>
    <w:rsid w:val="00F31415"/>
    <w:rsid w:val="00F3238C"/>
    <w:rsid w:val="00F33CA6"/>
    <w:rsid w:val="00F40AC2"/>
    <w:rsid w:val="00F467DC"/>
    <w:rsid w:val="00F50E33"/>
    <w:rsid w:val="00F6642C"/>
    <w:rsid w:val="00F70EBE"/>
    <w:rsid w:val="00F7399B"/>
    <w:rsid w:val="00F816C5"/>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page number" w:uiPriority="99"/>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E9B"/>
    <w:rPr>
      <w:rFonts w:ascii="Arial" w:hAnsi="Arial" w:cs="Arial"/>
      <w:sz w:val="22"/>
      <w:szCs w:val="24"/>
      <w:lang w:val="en-GB" w:eastAsia="en-US"/>
    </w:rPr>
  </w:style>
  <w:style w:type="paragraph" w:styleId="Heading1">
    <w:name w:val="heading 1"/>
    <w:basedOn w:val="Normal"/>
    <w:next w:val="Normal"/>
    <w:qFormat/>
    <w:rsid w:val="001B2E9B"/>
    <w:pPr>
      <w:keepNext/>
      <w:jc w:val="right"/>
      <w:outlineLvl w:val="0"/>
    </w:pPr>
    <w:rPr>
      <w:b/>
      <w:bCs/>
      <w:sz w:val="12"/>
      <w:lang w:val="en-US"/>
    </w:rPr>
  </w:style>
  <w:style w:type="paragraph" w:styleId="Heading2">
    <w:name w:val="heading 2"/>
    <w:basedOn w:val="Normal"/>
    <w:next w:val="Normal"/>
    <w:qFormat/>
    <w:rsid w:val="001B2E9B"/>
    <w:pPr>
      <w:keepNext/>
      <w:outlineLvl w:val="1"/>
    </w:pPr>
    <w:rPr>
      <w:b/>
      <w:bCs/>
      <w:sz w:val="20"/>
      <w:u w:val="single"/>
    </w:rPr>
  </w:style>
  <w:style w:type="paragraph" w:styleId="Heading3">
    <w:name w:val="heading 3"/>
    <w:basedOn w:val="Normal"/>
    <w:next w:val="Normal"/>
    <w:qFormat/>
    <w:rsid w:val="001B2E9B"/>
    <w:pPr>
      <w:keepNext/>
      <w:autoSpaceDE w:val="0"/>
      <w:autoSpaceDN w:val="0"/>
      <w:adjustRightInd w:val="0"/>
      <w:jc w:val="both"/>
      <w:outlineLvl w:val="2"/>
    </w:pPr>
    <w:rPr>
      <w:b/>
      <w:bCs/>
      <w:szCs w:val="16"/>
    </w:rPr>
  </w:style>
  <w:style w:type="paragraph" w:styleId="Heading4">
    <w:name w:val="heading 4"/>
    <w:basedOn w:val="Normal"/>
    <w:next w:val="Normal"/>
    <w:qFormat/>
    <w:rsid w:val="001B2E9B"/>
    <w:pPr>
      <w:keepNext/>
      <w:ind w:left="720" w:hanging="720"/>
      <w:jc w:val="right"/>
      <w:outlineLvl w:val="3"/>
    </w:pPr>
    <w:rPr>
      <w:b/>
      <w:bCs/>
      <w:sz w:val="12"/>
    </w:rPr>
  </w:style>
  <w:style w:type="paragraph" w:styleId="Heading5">
    <w:name w:val="heading 5"/>
    <w:basedOn w:val="Normal"/>
    <w:next w:val="Normal"/>
    <w:qFormat/>
    <w:rsid w:val="001B2E9B"/>
    <w:pPr>
      <w:keepNext/>
      <w:jc w:val="both"/>
      <w:outlineLvl w:val="4"/>
    </w:pPr>
    <w:rPr>
      <w:b/>
      <w:bCs/>
      <w:sz w:val="24"/>
    </w:rPr>
  </w:style>
  <w:style w:type="paragraph" w:styleId="Heading6">
    <w:name w:val="heading 6"/>
    <w:basedOn w:val="Normal"/>
    <w:next w:val="Normal"/>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1B2E9B"/>
    <w:pPr>
      <w:keepNext/>
      <w:ind w:left="660"/>
      <w:jc w:val="both"/>
      <w:outlineLvl w:val="6"/>
    </w:pPr>
    <w:rPr>
      <w:b/>
      <w:bCs/>
      <w:szCs w:val="22"/>
    </w:rPr>
  </w:style>
  <w:style w:type="paragraph" w:styleId="Heading8">
    <w:name w:val="heading 8"/>
    <w:basedOn w:val="Normal"/>
    <w:next w:val="Normal"/>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1B2E9B"/>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2E9B"/>
    <w:pPr>
      <w:jc w:val="both"/>
    </w:pPr>
    <w:rPr>
      <w:lang w:val="en-US"/>
    </w:rPr>
  </w:style>
  <w:style w:type="paragraph" w:styleId="BodyTextIndent">
    <w:name w:val="Body Text Indent"/>
    <w:basedOn w:val="Normal"/>
    <w:link w:val="BodyTextIndentChar"/>
    <w:rsid w:val="001B2E9B"/>
    <w:pPr>
      <w:ind w:left="770" w:hanging="50"/>
      <w:jc w:val="both"/>
    </w:pPr>
    <w:rPr>
      <w:rFonts w:cs="Times New Roman"/>
      <w:sz w:val="20"/>
    </w:rPr>
  </w:style>
  <w:style w:type="paragraph" w:styleId="BodyTextIndent3">
    <w:name w:val="Body Text Indent 3"/>
    <w:basedOn w:val="Normal"/>
    <w:rsid w:val="001B2E9B"/>
    <w:pPr>
      <w:ind w:left="720" w:hanging="720"/>
    </w:pPr>
    <w:rPr>
      <w:rFonts w:cs="Times New Roman"/>
      <w:sz w:val="24"/>
      <w:szCs w:val="20"/>
    </w:rPr>
  </w:style>
  <w:style w:type="paragraph" w:styleId="BodyText2">
    <w:name w:val="Body Text 2"/>
    <w:basedOn w:val="Normal"/>
    <w:rsid w:val="001B2E9B"/>
    <w:pPr>
      <w:jc w:val="both"/>
    </w:pPr>
    <w:rPr>
      <w:sz w:val="20"/>
    </w:rPr>
  </w:style>
  <w:style w:type="paragraph" w:styleId="BlockText">
    <w:name w:val="Block Text"/>
    <w:basedOn w:val="Normal"/>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1B2E9B"/>
    <w:pPr>
      <w:autoSpaceDE w:val="0"/>
      <w:autoSpaceDN w:val="0"/>
      <w:adjustRightInd w:val="0"/>
      <w:ind w:left="2160"/>
      <w:jc w:val="both"/>
    </w:pPr>
    <w:rPr>
      <w:szCs w:val="16"/>
    </w:rPr>
  </w:style>
  <w:style w:type="paragraph" w:styleId="Footer">
    <w:name w:val="footer"/>
    <w:basedOn w:val="Normal"/>
    <w:link w:val="FooterChar"/>
    <w:rsid w:val="001B2E9B"/>
    <w:pPr>
      <w:tabs>
        <w:tab w:val="center" w:pos="4153"/>
        <w:tab w:val="right" w:pos="8306"/>
      </w:tabs>
    </w:pPr>
  </w:style>
  <w:style w:type="character" w:styleId="PageNumber">
    <w:name w:val="page number"/>
    <w:basedOn w:val="DefaultParagraphFont"/>
    <w:uiPriority w:val="99"/>
    <w:rsid w:val="001B2E9B"/>
  </w:style>
  <w:style w:type="paragraph" w:styleId="Header">
    <w:name w:val="header"/>
    <w:basedOn w:val="Normal"/>
    <w:rsid w:val="001B2E9B"/>
    <w:pPr>
      <w:tabs>
        <w:tab w:val="center" w:pos="4153"/>
        <w:tab w:val="right" w:pos="8306"/>
      </w:tabs>
    </w:pPr>
  </w:style>
  <w:style w:type="character" w:styleId="FootnoteReference">
    <w:name w:val="footnote reference"/>
    <w:basedOn w:val="DefaultParagraphFont"/>
    <w:uiPriority w:val="99"/>
    <w:semiHidden/>
    <w:rsid w:val="001B2E9B"/>
    <w:rPr>
      <w:vertAlign w:val="superscript"/>
    </w:rPr>
  </w:style>
  <w:style w:type="paragraph" w:styleId="BodyText3">
    <w:name w:val="Body Text 3"/>
    <w:basedOn w:val="Normal"/>
    <w:rsid w:val="001B2E9B"/>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1B2E9B"/>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p0">
    <w:name w:val="p0"/>
    <w:basedOn w:val="Normal"/>
    <w:rsid w:val="002E5A19"/>
    <w:rPr>
      <w:rFonts w:ascii="Times New Roman" w:eastAsia="Calibri" w:hAnsi="Times New Roman" w:cs="Times New Roman"/>
      <w:sz w:val="24"/>
      <w:lang w:val="en-ZA" w:eastAsia="en-ZA"/>
    </w:rPr>
  </w:style>
  <w:style w:type="character" w:customStyle="1" w:styleId="BodyTextIndentChar">
    <w:name w:val="Body Text Indent Char"/>
    <w:link w:val="BodyTextIndent"/>
    <w:locked/>
    <w:rsid w:val="004C7AB2"/>
    <w:rPr>
      <w:rFonts w:ascii="Arial" w:hAnsi="Arial" w:cs="Arial"/>
      <w:szCs w:val="24"/>
      <w:lang w:val="en-GB" w:eastAsia="en-US"/>
    </w:rPr>
  </w:style>
  <w:style w:type="character" w:customStyle="1" w:styleId="BodyTextIndentChar21">
    <w:name w:val="Body Text Indent Char21"/>
    <w:locked/>
    <w:rsid w:val="005B52CD"/>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DD25D0"/>
    <w:pPr>
      <w:ind w:left="1434" w:hanging="357"/>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D25D0"/>
    <w:rPr>
      <w:rFonts w:ascii="Calibri" w:eastAsia="Calibri" w:hAnsi="Calibri"/>
      <w:lang w:val="en-GB" w:eastAsia="en-US"/>
    </w:rPr>
  </w:style>
  <w:style w:type="paragraph" w:styleId="Caption">
    <w:name w:val="caption"/>
    <w:basedOn w:val="Normal"/>
    <w:next w:val="Normal"/>
    <w:uiPriority w:val="35"/>
    <w:unhideWhenUsed/>
    <w:qFormat/>
    <w:rsid w:val="00DD25D0"/>
    <w:rPr>
      <w:rFonts w:cs="Times New Roman"/>
      <w:b/>
      <w:bCs/>
      <w:sz w:val="16"/>
      <w:szCs w:val="20"/>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mplaatjies</cp:lastModifiedBy>
  <cp:revision>2</cp:revision>
  <cp:lastPrinted>2015-11-17T09:30:00Z</cp:lastPrinted>
  <dcterms:created xsi:type="dcterms:W3CDTF">2015-11-17T10:39:00Z</dcterms:created>
  <dcterms:modified xsi:type="dcterms:W3CDTF">2015-11-17T10:39:00Z</dcterms:modified>
</cp:coreProperties>
</file>