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39E" w:rsidRPr="003C5A76" w:rsidRDefault="00A0439E" w:rsidP="00A0439E">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1C7AF6" w:rsidRPr="003C5A76" w:rsidRDefault="001C7AF6" w:rsidP="001C7AF6">
      <w:pPr>
        <w:jc w:val="center"/>
        <w:rPr>
          <w:rFonts w:ascii="Arial" w:hAnsi="Arial" w:cs="Arial"/>
          <w:b/>
          <w:bCs/>
        </w:rPr>
      </w:pPr>
      <w:r>
        <w:rPr>
          <w:rFonts w:ascii="Arial" w:hAnsi="Arial" w:cs="Arial"/>
          <w:b/>
          <w:bCs/>
          <w:lang w:val="en-ZA"/>
        </w:rPr>
        <w:t>NATIONAL ASSEMBLY</w:t>
      </w:r>
    </w:p>
    <w:p w:rsidR="001C7AF6" w:rsidRPr="003C5A76" w:rsidRDefault="001C7AF6" w:rsidP="001C7AF6">
      <w:pPr>
        <w:jc w:val="center"/>
        <w:rPr>
          <w:rFonts w:ascii="Arial" w:hAnsi="Arial" w:cs="Arial"/>
          <w:b/>
          <w:bCs/>
        </w:rPr>
      </w:pPr>
      <w:r w:rsidRPr="003C5A76">
        <w:rPr>
          <w:rFonts w:ascii="Arial" w:hAnsi="Arial" w:cs="Arial"/>
          <w:b/>
          <w:bCs/>
        </w:rPr>
        <w:t xml:space="preserve">FOR </w:t>
      </w:r>
      <w:r>
        <w:rPr>
          <w:rFonts w:ascii="Arial" w:hAnsi="Arial" w:cs="Arial"/>
          <w:b/>
          <w:bCs/>
        </w:rPr>
        <w:t>WRITTEN</w:t>
      </w:r>
      <w:r w:rsidRPr="003C5A76">
        <w:rPr>
          <w:rFonts w:ascii="Arial" w:hAnsi="Arial" w:cs="Arial"/>
          <w:b/>
          <w:bCs/>
        </w:rPr>
        <w:t xml:space="preserve"> REPLY</w:t>
      </w:r>
    </w:p>
    <w:p w:rsidR="001C7AF6" w:rsidRPr="003C5A76" w:rsidRDefault="001C7AF6" w:rsidP="001C7AF6">
      <w:pPr>
        <w:jc w:val="center"/>
        <w:rPr>
          <w:rFonts w:ascii="Arial" w:hAnsi="Arial" w:cs="Arial"/>
          <w:b/>
          <w:bCs/>
        </w:rPr>
      </w:pPr>
      <w:r w:rsidRPr="003C5A76">
        <w:rPr>
          <w:rFonts w:ascii="Arial" w:hAnsi="Arial" w:cs="Arial"/>
          <w:b/>
          <w:bCs/>
        </w:rPr>
        <w:t xml:space="preserve">QUESTION </w:t>
      </w:r>
      <w:r>
        <w:rPr>
          <w:rFonts w:ascii="Arial" w:hAnsi="Arial" w:cs="Arial"/>
          <w:b/>
          <w:bCs/>
        </w:rPr>
        <w:t>3849</w:t>
      </w:r>
    </w:p>
    <w:p w:rsidR="001C7AF6" w:rsidRPr="003C5A76" w:rsidRDefault="001C7AF6" w:rsidP="001C7AF6">
      <w:pPr>
        <w:jc w:val="center"/>
        <w:rPr>
          <w:rFonts w:ascii="Arial" w:hAnsi="Arial" w:cs="Arial"/>
          <w:b/>
          <w:bCs/>
          <w:u w:val="single"/>
        </w:rPr>
      </w:pPr>
      <w:r w:rsidRPr="003C5A76">
        <w:rPr>
          <w:rFonts w:ascii="Arial" w:hAnsi="Arial" w:cs="Arial"/>
          <w:b/>
          <w:bCs/>
          <w:u w:val="single"/>
        </w:rPr>
        <w:t xml:space="preserve">DATE OF PUBLICATION OF INTERNAL QUESTION PAPER: </w:t>
      </w:r>
      <w:r>
        <w:rPr>
          <w:rFonts w:ascii="Arial" w:hAnsi="Arial" w:cs="Arial"/>
          <w:b/>
          <w:bCs/>
          <w:u w:val="single"/>
        </w:rPr>
        <w:t>30/10/2015</w:t>
      </w:r>
    </w:p>
    <w:p w:rsidR="001C7AF6" w:rsidRPr="00417FD5" w:rsidRDefault="001C7AF6" w:rsidP="001C7AF6">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Pr>
          <w:rFonts w:ascii="Arial" w:hAnsi="Arial" w:cs="Arial"/>
          <w:b/>
          <w:bCs/>
          <w:u w:val="single"/>
        </w:rPr>
        <w:t>45 OF 2015</w:t>
      </w:r>
      <w:r w:rsidRPr="003C5A76">
        <w:rPr>
          <w:rFonts w:ascii="Arial" w:hAnsi="Arial" w:cs="Arial"/>
          <w:b/>
          <w:bCs/>
          <w:u w:val="single"/>
        </w:rPr>
        <w:t>)</w:t>
      </w:r>
    </w:p>
    <w:p w:rsidR="00A0439E" w:rsidRPr="001A4AA0" w:rsidRDefault="00A0439E" w:rsidP="00A0439E">
      <w:pPr>
        <w:spacing w:before="100" w:beforeAutospacing="1" w:after="100" w:afterAutospacing="1"/>
        <w:ind w:left="720" w:hanging="720"/>
        <w:jc w:val="both"/>
        <w:outlineLvl w:val="0"/>
        <w:rPr>
          <w:rFonts w:ascii="Arial" w:hAnsi="Arial" w:cs="Arial"/>
          <w:b/>
          <w:bCs/>
          <w:lang w:val="en-ZA"/>
        </w:rPr>
      </w:pPr>
      <w:r w:rsidRPr="001A4AA0">
        <w:rPr>
          <w:rFonts w:ascii="Arial" w:hAnsi="Arial" w:cs="Arial"/>
          <w:b/>
          <w:bCs/>
          <w:lang w:val="en-ZA"/>
        </w:rPr>
        <w:t xml:space="preserve">Mr M S Mbatha (EFF) to ask the Minister of Higher Education and Training: </w:t>
      </w:r>
    </w:p>
    <w:p w:rsidR="00A0439E" w:rsidRPr="001A4AA0" w:rsidRDefault="00A0439E" w:rsidP="00A0439E">
      <w:pPr>
        <w:numPr>
          <w:ilvl w:val="0"/>
          <w:numId w:val="17"/>
        </w:numPr>
        <w:spacing w:before="100" w:beforeAutospacing="1" w:after="100" w:afterAutospacing="1" w:line="360" w:lineRule="auto"/>
        <w:jc w:val="both"/>
        <w:rPr>
          <w:rFonts w:ascii="Arial" w:hAnsi="Arial" w:cs="Arial"/>
          <w:lang w:val="en-ZA"/>
        </w:rPr>
      </w:pPr>
      <w:r w:rsidRPr="001A4AA0">
        <w:rPr>
          <w:rFonts w:ascii="Arial" w:hAnsi="Arial" w:cs="Arial"/>
          <w:lang w:val="en-ZA"/>
        </w:rPr>
        <w:t>Whether, in view of a report that he received in 2012 from a working group chaired by a certain person (name furnished), which he commissioned to investigate the possibility of fee-free university education, the specified report shows that a fee-free university education is possible; if not, what is the position in this regard; if so, what are the relevant details;</w:t>
      </w:r>
    </w:p>
    <w:p w:rsidR="00A0439E" w:rsidRDefault="00A0439E" w:rsidP="00A0439E">
      <w:pPr>
        <w:numPr>
          <w:ilvl w:val="0"/>
          <w:numId w:val="17"/>
        </w:numPr>
        <w:spacing w:before="100" w:beforeAutospacing="1" w:after="100" w:afterAutospacing="1" w:line="360" w:lineRule="auto"/>
        <w:jc w:val="both"/>
        <w:rPr>
          <w:rFonts w:ascii="Arial" w:hAnsi="Arial" w:cs="Arial"/>
          <w:lang w:val="en-ZA"/>
        </w:rPr>
      </w:pPr>
      <w:r w:rsidRPr="001A4AA0">
        <w:rPr>
          <w:rFonts w:ascii="Arial" w:hAnsi="Arial" w:cs="Arial"/>
          <w:lang w:val="en-ZA"/>
        </w:rPr>
        <w:t>when will he release the specified report to the public?</w:t>
      </w:r>
    </w:p>
    <w:p w:rsidR="00A0439E" w:rsidRPr="001A4AA0" w:rsidRDefault="00A0439E" w:rsidP="00A0439E">
      <w:pPr>
        <w:spacing w:before="100" w:beforeAutospacing="1" w:after="100" w:afterAutospacing="1" w:line="360" w:lineRule="auto"/>
        <w:ind w:left="360"/>
        <w:jc w:val="right"/>
        <w:rPr>
          <w:rFonts w:ascii="Arial" w:hAnsi="Arial" w:cs="Arial"/>
          <w:b/>
          <w:lang w:val="en-ZA"/>
        </w:rPr>
      </w:pPr>
      <w:r w:rsidRPr="001A4AA0">
        <w:rPr>
          <w:rFonts w:ascii="Arial" w:hAnsi="Arial" w:cs="Arial"/>
          <w:b/>
          <w:lang w:val="en-ZA"/>
        </w:rPr>
        <w:t>NO4625E</w:t>
      </w:r>
    </w:p>
    <w:p w:rsidR="00C3677B" w:rsidRPr="00B458F1" w:rsidRDefault="00A0439E" w:rsidP="003F0275">
      <w:pPr>
        <w:spacing w:before="100" w:beforeAutospacing="1" w:after="100" w:afterAutospacing="1"/>
        <w:ind w:left="720" w:hanging="720"/>
        <w:jc w:val="both"/>
        <w:outlineLvl w:val="0"/>
        <w:rPr>
          <w:rFonts w:ascii="Arial" w:hAnsi="Arial" w:cs="Arial"/>
          <w:b/>
          <w:lang w:val="en-ZA"/>
        </w:rPr>
      </w:pPr>
      <w:r>
        <w:rPr>
          <w:rFonts w:ascii="Arial" w:hAnsi="Arial" w:cs="Arial"/>
          <w:b/>
        </w:rPr>
        <w:br w:type="page"/>
      </w:r>
      <w:r w:rsidR="00B12389" w:rsidRPr="003C5A76">
        <w:rPr>
          <w:rFonts w:ascii="Arial" w:hAnsi="Arial" w:cs="Arial"/>
          <w:b/>
        </w:rPr>
        <w:lastRenderedPageBreak/>
        <w:t>R</w:t>
      </w:r>
      <w:r w:rsidR="00FC1A3C" w:rsidRPr="003C5A76">
        <w:rPr>
          <w:rFonts w:ascii="Arial" w:hAnsi="Arial" w:cs="Arial"/>
          <w:b/>
        </w:rPr>
        <w:t>EPLY:</w:t>
      </w:r>
    </w:p>
    <w:p w:rsidR="003E455E" w:rsidRPr="00E86AAE" w:rsidRDefault="003E455E" w:rsidP="00E86AAE">
      <w:pPr>
        <w:pStyle w:val="ColorfulList-Accent11"/>
        <w:spacing w:before="100" w:beforeAutospacing="1" w:after="100" w:afterAutospacing="1"/>
        <w:ind w:left="0"/>
        <w:outlineLvl w:val="0"/>
        <w:rPr>
          <w:rFonts w:ascii="Arial" w:hAnsi="Arial" w:cs="Arial"/>
        </w:rPr>
      </w:pPr>
    </w:p>
    <w:p w:rsidR="009C1639" w:rsidRDefault="00CA3BF9" w:rsidP="00A04311">
      <w:pPr>
        <w:pStyle w:val="ColorfulList-Accent11"/>
        <w:numPr>
          <w:ilvl w:val="0"/>
          <w:numId w:val="29"/>
        </w:numPr>
        <w:spacing w:before="100" w:beforeAutospacing="1" w:after="100" w:afterAutospacing="1" w:line="360" w:lineRule="auto"/>
        <w:jc w:val="both"/>
        <w:outlineLvl w:val="0"/>
        <w:rPr>
          <w:rFonts w:ascii="Arial" w:hAnsi="Arial" w:cs="Arial"/>
        </w:rPr>
      </w:pPr>
      <w:r>
        <w:rPr>
          <w:rFonts w:ascii="Arial" w:hAnsi="Arial" w:cs="Arial"/>
        </w:rPr>
        <w:t>Yes</w:t>
      </w:r>
      <w:r w:rsidR="00B772CD">
        <w:rPr>
          <w:rFonts w:ascii="Arial" w:hAnsi="Arial" w:cs="Arial"/>
        </w:rPr>
        <w:t>,</w:t>
      </w:r>
      <w:r>
        <w:rPr>
          <w:rFonts w:ascii="Arial" w:hAnsi="Arial" w:cs="Arial"/>
        </w:rPr>
        <w:t xml:space="preserve"> </w:t>
      </w:r>
      <w:r w:rsidR="00A61673">
        <w:rPr>
          <w:rFonts w:ascii="Arial" w:hAnsi="Arial" w:cs="Arial"/>
        </w:rPr>
        <w:t>I have</w:t>
      </w:r>
      <w:r>
        <w:rPr>
          <w:rFonts w:ascii="Arial" w:hAnsi="Arial" w:cs="Arial"/>
        </w:rPr>
        <w:t xml:space="preserve"> investigated the feasibility of providing free quality education for the poor and working class. </w:t>
      </w:r>
      <w:r w:rsidR="004443D3" w:rsidRPr="00E86AAE">
        <w:rPr>
          <w:rFonts w:ascii="Arial" w:hAnsi="Arial" w:cs="Arial"/>
        </w:rPr>
        <w:t xml:space="preserve">In 2012, </w:t>
      </w:r>
      <w:r w:rsidR="00A61673">
        <w:rPr>
          <w:rFonts w:ascii="Arial" w:hAnsi="Arial" w:cs="Times New Roman"/>
        </w:rPr>
        <w:t>t</w:t>
      </w:r>
      <w:r w:rsidR="00A61673" w:rsidRPr="00841FA7">
        <w:rPr>
          <w:rFonts w:ascii="Arial" w:hAnsi="Arial" w:cs="Times New Roman"/>
        </w:rPr>
        <w:t>he Ministerial Working Group on Fee-Free Higher Education</w:t>
      </w:r>
      <w:r w:rsidR="00AD63BD">
        <w:rPr>
          <w:rFonts w:ascii="Arial" w:hAnsi="Arial" w:cs="Times New Roman"/>
        </w:rPr>
        <w:t xml:space="preserve"> was established,</w:t>
      </w:r>
      <w:r w:rsidR="00A61673" w:rsidRPr="00841FA7">
        <w:rPr>
          <w:rFonts w:ascii="Arial" w:hAnsi="Arial" w:cs="Times New Roman"/>
        </w:rPr>
        <w:t xml:space="preserve"> </w:t>
      </w:r>
      <w:r w:rsidR="004443D3" w:rsidRPr="00E86AAE">
        <w:rPr>
          <w:rFonts w:ascii="Arial" w:hAnsi="Arial" w:cs="Arial"/>
        </w:rPr>
        <w:t>to investigate and advi</w:t>
      </w:r>
      <w:r w:rsidR="00AD63BD">
        <w:rPr>
          <w:rFonts w:ascii="Arial" w:hAnsi="Arial" w:cs="Arial"/>
        </w:rPr>
        <w:t>s</w:t>
      </w:r>
      <w:r w:rsidR="004443D3" w:rsidRPr="00E86AAE">
        <w:rPr>
          <w:rFonts w:ascii="Arial" w:hAnsi="Arial" w:cs="Arial"/>
        </w:rPr>
        <w:t xml:space="preserve">e on the feasibility of making university education fee-free for the poor in </w:t>
      </w:r>
      <w:smartTag w:uri="urn:schemas-microsoft-com:office:smarttags" w:element="country-region">
        <w:smartTag w:uri="urn:schemas-microsoft-com:office:smarttags" w:element="place">
          <w:r w:rsidR="004443D3" w:rsidRPr="00E86AAE">
            <w:rPr>
              <w:rFonts w:ascii="Arial" w:hAnsi="Arial" w:cs="Arial"/>
            </w:rPr>
            <w:t>South Africa</w:t>
          </w:r>
        </w:smartTag>
      </w:smartTag>
      <w:r w:rsidR="004443D3" w:rsidRPr="00E86AAE">
        <w:rPr>
          <w:rFonts w:ascii="Arial" w:hAnsi="Arial" w:cs="Arial"/>
        </w:rPr>
        <w:t xml:space="preserve">. The responsibilities of the Working Group </w:t>
      </w:r>
      <w:r w:rsidR="00B357B9" w:rsidRPr="00E86AAE">
        <w:rPr>
          <w:rFonts w:ascii="Arial" w:hAnsi="Arial" w:cs="Arial"/>
        </w:rPr>
        <w:t>included the following</w:t>
      </w:r>
      <w:r w:rsidR="00C00D39" w:rsidRPr="00E86AAE">
        <w:rPr>
          <w:rFonts w:ascii="Arial" w:hAnsi="Arial" w:cs="Arial"/>
        </w:rPr>
        <w:t>:</w:t>
      </w:r>
    </w:p>
    <w:p w:rsidR="00B357B9" w:rsidRPr="00E86AAE" w:rsidRDefault="00B357B9" w:rsidP="00A04311">
      <w:pPr>
        <w:numPr>
          <w:ilvl w:val="0"/>
          <w:numId w:val="28"/>
        </w:numPr>
        <w:spacing w:before="100" w:beforeAutospacing="1" w:after="100" w:afterAutospacing="1" w:line="360" w:lineRule="auto"/>
        <w:ind w:left="993" w:hanging="284"/>
        <w:contextualSpacing/>
        <w:jc w:val="both"/>
        <w:outlineLvl w:val="0"/>
        <w:rPr>
          <w:rFonts w:ascii="Arial" w:hAnsi="Arial" w:cs="Arial"/>
        </w:rPr>
      </w:pPr>
      <w:r w:rsidRPr="00E86AAE">
        <w:rPr>
          <w:rFonts w:ascii="Arial" w:hAnsi="Arial" w:cs="Arial"/>
        </w:rPr>
        <w:t xml:space="preserve">determine the actual cost of introducing fee-free university education for poor people in </w:t>
      </w:r>
      <w:smartTag w:uri="urn:schemas-microsoft-com:office:smarttags" w:element="country-region">
        <w:r w:rsidRPr="00E86AAE">
          <w:rPr>
            <w:rFonts w:ascii="Arial" w:hAnsi="Arial" w:cs="Arial"/>
          </w:rPr>
          <w:t>South Africa</w:t>
        </w:r>
      </w:smartTag>
      <w:r w:rsidRPr="00E86AAE">
        <w:rPr>
          <w:rFonts w:ascii="Arial" w:hAnsi="Arial" w:cs="Arial"/>
        </w:rPr>
        <w:t xml:space="preserve">; in other words, what would it cost </w:t>
      </w:r>
      <w:smartTag w:uri="urn:schemas-microsoft-com:office:smarttags" w:element="country-region">
        <w:smartTag w:uri="urn:schemas-microsoft-com:office:smarttags" w:element="place">
          <w:r w:rsidRPr="00E86AAE">
            <w:rPr>
              <w:rFonts w:ascii="Arial" w:hAnsi="Arial" w:cs="Arial"/>
            </w:rPr>
            <w:t>South Africa</w:t>
          </w:r>
        </w:smartTag>
      </w:smartTag>
      <w:r w:rsidRPr="00E86AAE">
        <w:rPr>
          <w:rFonts w:ascii="Arial" w:hAnsi="Arial" w:cs="Arial"/>
        </w:rPr>
        <w:t xml:space="preserve"> to offer fee-free university education to cover people classified as poor;</w:t>
      </w:r>
    </w:p>
    <w:p w:rsidR="00B357B9" w:rsidRPr="00E86AAE" w:rsidRDefault="00B357B9" w:rsidP="00A04311">
      <w:pPr>
        <w:numPr>
          <w:ilvl w:val="0"/>
          <w:numId w:val="28"/>
        </w:numPr>
        <w:spacing w:before="100" w:beforeAutospacing="1" w:after="100" w:afterAutospacing="1" w:line="360" w:lineRule="auto"/>
        <w:ind w:left="993" w:hanging="284"/>
        <w:contextualSpacing/>
        <w:jc w:val="both"/>
        <w:outlineLvl w:val="0"/>
        <w:rPr>
          <w:rFonts w:ascii="Arial" w:hAnsi="Arial" w:cs="Arial"/>
        </w:rPr>
      </w:pPr>
      <w:r w:rsidRPr="00E86AAE">
        <w:rPr>
          <w:rFonts w:ascii="Arial" w:hAnsi="Arial" w:cs="Arial"/>
        </w:rPr>
        <w:t xml:space="preserve">suggest a working definition of poor people in </w:t>
      </w:r>
      <w:smartTag w:uri="urn:schemas-microsoft-com:office:smarttags" w:element="country-region">
        <w:smartTag w:uri="urn:schemas-microsoft-com:office:smarttags" w:element="place">
          <w:r w:rsidRPr="00E86AAE">
            <w:rPr>
              <w:rFonts w:ascii="Arial" w:hAnsi="Arial" w:cs="Arial"/>
            </w:rPr>
            <w:t>South Africa</w:t>
          </w:r>
        </w:smartTag>
      </w:smartTag>
      <w:r w:rsidRPr="00E86AAE">
        <w:rPr>
          <w:rFonts w:ascii="Arial" w:hAnsi="Arial" w:cs="Arial"/>
        </w:rPr>
        <w:t xml:space="preserve">, if necessary suggesting different categories and how all can be provided fee-free university education; </w:t>
      </w:r>
    </w:p>
    <w:p w:rsidR="00B357B9" w:rsidRPr="00E86AAE" w:rsidRDefault="00B357B9" w:rsidP="00A04311">
      <w:pPr>
        <w:numPr>
          <w:ilvl w:val="0"/>
          <w:numId w:val="28"/>
        </w:numPr>
        <w:spacing w:before="100" w:beforeAutospacing="1" w:after="100" w:afterAutospacing="1" w:line="360" w:lineRule="auto"/>
        <w:ind w:left="993" w:hanging="284"/>
        <w:contextualSpacing/>
        <w:jc w:val="both"/>
        <w:outlineLvl w:val="0"/>
        <w:rPr>
          <w:rFonts w:ascii="Arial" w:hAnsi="Arial" w:cs="Arial"/>
        </w:rPr>
      </w:pPr>
      <w:r w:rsidRPr="00E86AAE">
        <w:rPr>
          <w:rFonts w:ascii="Arial" w:hAnsi="Arial" w:cs="Arial"/>
        </w:rPr>
        <w:t>consider existing policy provision and broadly consult documentation of other task teams/working groups in the Department</w:t>
      </w:r>
      <w:r w:rsidR="00A61673">
        <w:rPr>
          <w:rFonts w:ascii="Arial" w:hAnsi="Arial" w:cs="Arial"/>
        </w:rPr>
        <w:t xml:space="preserve"> of Higher Education and Training (DHET)</w:t>
      </w:r>
      <w:r w:rsidRPr="00E86AAE">
        <w:rPr>
          <w:rFonts w:ascii="Arial" w:hAnsi="Arial" w:cs="Arial"/>
        </w:rPr>
        <w:t xml:space="preserve"> which deal or dealt with related fields;</w:t>
      </w:r>
    </w:p>
    <w:p w:rsidR="00B357B9" w:rsidRPr="00E86AAE" w:rsidRDefault="00B357B9" w:rsidP="00A04311">
      <w:pPr>
        <w:numPr>
          <w:ilvl w:val="0"/>
          <w:numId w:val="28"/>
        </w:numPr>
        <w:spacing w:before="100" w:beforeAutospacing="1" w:after="100" w:afterAutospacing="1" w:line="360" w:lineRule="auto"/>
        <w:ind w:left="993" w:hanging="284"/>
        <w:contextualSpacing/>
        <w:jc w:val="both"/>
        <w:outlineLvl w:val="0"/>
        <w:rPr>
          <w:rFonts w:ascii="Arial" w:hAnsi="Arial" w:cs="Arial"/>
        </w:rPr>
      </w:pPr>
      <w:r w:rsidRPr="00E86AAE">
        <w:rPr>
          <w:rFonts w:ascii="Arial" w:hAnsi="Arial" w:cs="Arial"/>
        </w:rPr>
        <w:t>examine various models and options of providing fee-free higher education for poor people used elsewhere in the world and make recommendations to the Minister;</w:t>
      </w:r>
      <w:r w:rsidR="003B032F" w:rsidRPr="00E86AAE">
        <w:rPr>
          <w:rFonts w:ascii="Arial" w:hAnsi="Arial" w:cs="Arial"/>
        </w:rPr>
        <w:t xml:space="preserve"> and</w:t>
      </w:r>
    </w:p>
    <w:p w:rsidR="00B357B9" w:rsidRPr="00E86AAE" w:rsidRDefault="003B032F" w:rsidP="00A04311">
      <w:pPr>
        <w:numPr>
          <w:ilvl w:val="0"/>
          <w:numId w:val="28"/>
        </w:numPr>
        <w:spacing w:before="100" w:beforeAutospacing="1" w:after="100" w:afterAutospacing="1" w:line="360" w:lineRule="auto"/>
        <w:ind w:left="993" w:hanging="284"/>
        <w:contextualSpacing/>
        <w:jc w:val="both"/>
        <w:outlineLvl w:val="0"/>
        <w:rPr>
          <w:rFonts w:ascii="Arial" w:hAnsi="Arial" w:cs="Arial"/>
        </w:rPr>
      </w:pPr>
      <w:r w:rsidRPr="00E86AAE">
        <w:rPr>
          <w:rFonts w:ascii="Arial" w:hAnsi="Arial" w:cs="Arial"/>
        </w:rPr>
        <w:t xml:space="preserve">contemplate </w:t>
      </w:r>
      <w:r w:rsidR="00B357B9" w:rsidRPr="00E86AAE">
        <w:rPr>
          <w:rFonts w:ascii="Arial" w:hAnsi="Arial" w:cs="Arial"/>
        </w:rPr>
        <w:t>all possible implications and consequences of providing fee-free university education for the poor.</w:t>
      </w:r>
    </w:p>
    <w:p w:rsidR="00A04311" w:rsidRDefault="00667223" w:rsidP="00A04311">
      <w:pPr>
        <w:pStyle w:val="ColorfulList-Accent11"/>
        <w:spacing w:before="100" w:beforeAutospacing="1" w:after="100" w:afterAutospacing="1" w:line="360" w:lineRule="auto"/>
        <w:ind w:left="709"/>
        <w:jc w:val="both"/>
        <w:outlineLvl w:val="0"/>
        <w:rPr>
          <w:rFonts w:ascii="Arial" w:hAnsi="Arial" w:cs="Arial"/>
        </w:rPr>
      </w:pPr>
      <w:r w:rsidRPr="00E86AAE">
        <w:rPr>
          <w:rFonts w:ascii="Arial" w:hAnsi="Arial" w:cs="Arial"/>
        </w:rPr>
        <w:t xml:space="preserve">The Working </w:t>
      </w:r>
      <w:r w:rsidR="002B3376" w:rsidRPr="00E86AAE">
        <w:rPr>
          <w:rFonts w:ascii="Arial" w:hAnsi="Arial" w:cs="Arial"/>
        </w:rPr>
        <w:t>G</w:t>
      </w:r>
      <w:r w:rsidRPr="00E86AAE">
        <w:rPr>
          <w:rFonts w:ascii="Arial" w:hAnsi="Arial" w:cs="Arial"/>
        </w:rPr>
        <w:t xml:space="preserve">roup acknowledged that </w:t>
      </w:r>
      <w:r w:rsidR="005F58F4" w:rsidRPr="00E86AAE">
        <w:rPr>
          <w:rFonts w:ascii="Arial" w:hAnsi="Arial" w:cs="Arial"/>
        </w:rPr>
        <w:t xml:space="preserve">at </w:t>
      </w:r>
      <w:r w:rsidRPr="00E86AAE">
        <w:rPr>
          <w:rFonts w:ascii="Arial" w:hAnsi="Arial" w:cs="Arial"/>
        </w:rPr>
        <w:t xml:space="preserve">this point in time in </w:t>
      </w:r>
      <w:r w:rsidR="005F58F4" w:rsidRPr="00E86AAE">
        <w:rPr>
          <w:rFonts w:ascii="Arial" w:hAnsi="Arial" w:cs="Arial"/>
        </w:rPr>
        <w:t xml:space="preserve">the development of </w:t>
      </w:r>
      <w:r w:rsidRPr="00E86AAE">
        <w:rPr>
          <w:rFonts w:ascii="Arial" w:hAnsi="Arial" w:cs="Arial"/>
        </w:rPr>
        <w:t xml:space="preserve">South Africa, a well-considered system of free university education for the poor could go a long way towards increasing both access to and the quality of higher education, and in so doing help to tackle unemployment and poverty, reduce inequality and deepen democracy. </w:t>
      </w:r>
      <w:r w:rsidR="00114C80" w:rsidRPr="00E86AAE">
        <w:rPr>
          <w:rFonts w:ascii="Arial" w:hAnsi="Arial" w:cs="Arial"/>
        </w:rPr>
        <w:t xml:space="preserve">It </w:t>
      </w:r>
      <w:r w:rsidR="00EA1FC8">
        <w:rPr>
          <w:rFonts w:ascii="Arial" w:hAnsi="Arial" w:cs="Arial"/>
        </w:rPr>
        <w:t>concluded that f</w:t>
      </w:r>
      <w:r w:rsidR="002B3376" w:rsidRPr="00E86AAE">
        <w:rPr>
          <w:rFonts w:ascii="Arial" w:hAnsi="Arial" w:cs="Arial"/>
        </w:rPr>
        <w:t xml:space="preserve">ree university education for the poor in </w:t>
      </w:r>
      <w:smartTag w:uri="urn:schemas-microsoft-com:office:smarttags" w:element="country-region">
        <w:smartTag w:uri="urn:schemas-microsoft-com:office:smarttags" w:element="place">
          <w:r w:rsidR="002B3376" w:rsidRPr="00E86AAE">
            <w:rPr>
              <w:rFonts w:ascii="Arial" w:hAnsi="Arial" w:cs="Arial"/>
            </w:rPr>
            <w:t>South Africa</w:t>
          </w:r>
        </w:smartTag>
      </w:smartTag>
      <w:r w:rsidR="002B3376" w:rsidRPr="00E86AAE">
        <w:rPr>
          <w:rFonts w:ascii="Arial" w:hAnsi="Arial" w:cs="Arial"/>
        </w:rPr>
        <w:t xml:space="preserve"> is feasible, but will require s</w:t>
      </w:r>
      <w:r w:rsidR="00A04311">
        <w:rPr>
          <w:rFonts w:ascii="Arial" w:hAnsi="Arial" w:cs="Arial"/>
        </w:rPr>
        <w:t>ignificant additional funding for</w:t>
      </w:r>
      <w:r w:rsidR="002B3376" w:rsidRPr="00E86AAE">
        <w:rPr>
          <w:rFonts w:ascii="Arial" w:hAnsi="Arial" w:cs="Arial"/>
        </w:rPr>
        <w:t xml:space="preserve"> both </w:t>
      </w:r>
      <w:r w:rsidR="00A61673">
        <w:rPr>
          <w:rFonts w:ascii="Arial" w:hAnsi="Arial" w:cs="Arial"/>
        </w:rPr>
        <w:t>the National Student Financial Aid Scheme (</w:t>
      </w:r>
      <w:r w:rsidR="002B3376" w:rsidRPr="00E86AAE">
        <w:rPr>
          <w:rFonts w:ascii="Arial" w:hAnsi="Arial" w:cs="Arial"/>
        </w:rPr>
        <w:t>N</w:t>
      </w:r>
      <w:r w:rsidR="00A0439E">
        <w:rPr>
          <w:rFonts w:ascii="Arial" w:hAnsi="Arial" w:cs="Arial"/>
        </w:rPr>
        <w:t>SFAS</w:t>
      </w:r>
      <w:r w:rsidR="00A61673">
        <w:rPr>
          <w:rFonts w:ascii="Arial" w:hAnsi="Arial" w:cs="Arial"/>
        </w:rPr>
        <w:t>)</w:t>
      </w:r>
      <w:r w:rsidR="00A0439E">
        <w:rPr>
          <w:rFonts w:ascii="Arial" w:hAnsi="Arial" w:cs="Arial"/>
        </w:rPr>
        <w:t xml:space="preserve"> and the university system.</w:t>
      </w:r>
    </w:p>
    <w:p w:rsidR="00A04311" w:rsidRDefault="00A04311" w:rsidP="00A04311">
      <w:pPr>
        <w:pStyle w:val="ColorfulList-Accent11"/>
        <w:spacing w:before="100" w:beforeAutospacing="1" w:after="100" w:afterAutospacing="1" w:line="360" w:lineRule="auto"/>
        <w:ind w:left="0"/>
        <w:jc w:val="both"/>
        <w:outlineLvl w:val="0"/>
        <w:rPr>
          <w:rFonts w:ascii="Arial" w:hAnsi="Arial" w:cs="Times New Roman"/>
        </w:rPr>
      </w:pPr>
    </w:p>
    <w:p w:rsidR="00A04311" w:rsidRPr="00841FA7" w:rsidRDefault="00A04311" w:rsidP="00A04311">
      <w:pPr>
        <w:pStyle w:val="ColorfulList-Accent11"/>
        <w:spacing w:before="100" w:beforeAutospacing="1" w:after="100" w:afterAutospacing="1" w:line="360" w:lineRule="auto"/>
        <w:ind w:left="709"/>
        <w:jc w:val="both"/>
        <w:outlineLvl w:val="0"/>
        <w:rPr>
          <w:rFonts w:ascii="Arial" w:hAnsi="Arial" w:cs="Times New Roman"/>
        </w:rPr>
      </w:pPr>
      <w:r w:rsidRPr="00841FA7">
        <w:rPr>
          <w:rFonts w:ascii="Arial" w:hAnsi="Arial" w:cs="Times New Roman"/>
        </w:rPr>
        <w:t>The Ministerial Working Group on Fee-Free Higher Education advised that fee-free university education for the poor is feasible</w:t>
      </w:r>
      <w:r>
        <w:rPr>
          <w:rFonts w:ascii="Arial" w:hAnsi="Arial" w:cs="Times New Roman"/>
        </w:rPr>
        <w:t>,</w:t>
      </w:r>
      <w:r w:rsidRPr="00841FA7">
        <w:rPr>
          <w:rFonts w:ascii="Arial" w:hAnsi="Arial" w:cs="Times New Roman"/>
        </w:rPr>
        <w:t xml:space="preserve"> if built on the current NSFAS cost sharing and recovery model. The implementation of fee-free university education is dependent on </w:t>
      </w:r>
      <w:r>
        <w:rPr>
          <w:rFonts w:ascii="Arial" w:hAnsi="Arial" w:cs="Times New Roman"/>
        </w:rPr>
        <w:t xml:space="preserve">significant </w:t>
      </w:r>
      <w:r w:rsidRPr="00841FA7">
        <w:rPr>
          <w:rFonts w:ascii="Arial" w:hAnsi="Arial" w:cs="Times New Roman"/>
        </w:rPr>
        <w:t xml:space="preserve">funding being made available, but the quantum of funding required varies depending on </w:t>
      </w:r>
      <w:r>
        <w:rPr>
          <w:rFonts w:ascii="Arial" w:hAnsi="Arial" w:cs="Times New Roman"/>
        </w:rPr>
        <w:t xml:space="preserve">the </w:t>
      </w:r>
      <w:r w:rsidRPr="00841FA7">
        <w:rPr>
          <w:rFonts w:ascii="Arial" w:hAnsi="Arial" w:cs="Times New Roman"/>
        </w:rPr>
        <w:t xml:space="preserve">range of parameters and policy decisions. </w:t>
      </w:r>
    </w:p>
    <w:p w:rsidR="00A04311" w:rsidRDefault="00A04311" w:rsidP="00A04311">
      <w:pPr>
        <w:pStyle w:val="ColorfulList-Accent11"/>
        <w:spacing w:before="100" w:beforeAutospacing="1" w:after="100" w:afterAutospacing="1" w:line="360" w:lineRule="auto"/>
        <w:jc w:val="both"/>
        <w:outlineLvl w:val="0"/>
        <w:rPr>
          <w:rFonts w:ascii="Arial" w:hAnsi="Arial" w:cs="Arial"/>
        </w:rPr>
      </w:pPr>
    </w:p>
    <w:p w:rsidR="00A04311" w:rsidRPr="00784578" w:rsidRDefault="00A04311" w:rsidP="00A04311">
      <w:pPr>
        <w:pStyle w:val="ColorfulList-Accent11"/>
        <w:spacing w:before="100" w:beforeAutospacing="1" w:after="100" w:afterAutospacing="1" w:line="360" w:lineRule="auto"/>
        <w:ind w:left="709"/>
        <w:jc w:val="both"/>
        <w:outlineLvl w:val="0"/>
        <w:rPr>
          <w:rFonts w:ascii="Arial" w:hAnsi="Arial" w:cs="Arial"/>
        </w:rPr>
      </w:pPr>
      <w:r>
        <w:rPr>
          <w:rFonts w:ascii="Arial" w:hAnsi="Arial" w:cs="Arial"/>
        </w:rPr>
        <w:t xml:space="preserve">The report recommended that NSFAS be strengthened to implement the scheme and that a policy dialogue should be put in place to discuss the parameters and develop regulations for implementation. However, before the final policy and regulations are published, funding to support the scheme must be committed. </w:t>
      </w:r>
    </w:p>
    <w:p w:rsidR="00A04311" w:rsidRPr="00841FA7" w:rsidRDefault="00A04311" w:rsidP="00A04311">
      <w:pPr>
        <w:pStyle w:val="ColorfulList-Accent11"/>
        <w:spacing w:line="360" w:lineRule="auto"/>
        <w:rPr>
          <w:rFonts w:ascii="Arial" w:hAnsi="Arial" w:cs="Times New Roman"/>
        </w:rPr>
      </w:pPr>
    </w:p>
    <w:p w:rsidR="00A04311" w:rsidRPr="00841FA7" w:rsidRDefault="00A04311" w:rsidP="00A04311">
      <w:pPr>
        <w:pStyle w:val="ColorfulList-Accent11"/>
        <w:spacing w:before="100" w:beforeAutospacing="1" w:after="100" w:afterAutospacing="1" w:line="360" w:lineRule="auto"/>
        <w:ind w:left="709"/>
        <w:jc w:val="both"/>
        <w:outlineLvl w:val="0"/>
        <w:rPr>
          <w:rFonts w:ascii="Arial" w:hAnsi="Arial" w:cs="Times New Roman"/>
        </w:rPr>
      </w:pPr>
      <w:r w:rsidRPr="00841FA7">
        <w:rPr>
          <w:rFonts w:ascii="Arial" w:hAnsi="Arial" w:cs="Times New Roman"/>
        </w:rPr>
        <w:t xml:space="preserve">A Policy Dialogue comprising of the DHET, NSFAS, </w:t>
      </w:r>
      <w:r>
        <w:rPr>
          <w:rFonts w:ascii="Arial" w:hAnsi="Arial" w:cs="Times New Roman"/>
        </w:rPr>
        <w:t>Universities South Africa</w:t>
      </w:r>
      <w:r w:rsidRPr="00841FA7">
        <w:rPr>
          <w:rFonts w:ascii="Arial" w:hAnsi="Arial" w:cs="Times New Roman"/>
        </w:rPr>
        <w:t xml:space="preserve">, the University Council </w:t>
      </w:r>
      <w:r>
        <w:rPr>
          <w:rFonts w:ascii="Arial" w:hAnsi="Arial" w:cs="Times New Roman"/>
        </w:rPr>
        <w:t xml:space="preserve">Chairs </w:t>
      </w:r>
      <w:r w:rsidRPr="00841FA7">
        <w:rPr>
          <w:rFonts w:ascii="Arial" w:hAnsi="Arial" w:cs="Times New Roman"/>
        </w:rPr>
        <w:t>Foru</w:t>
      </w:r>
      <w:r>
        <w:rPr>
          <w:rFonts w:ascii="Arial" w:hAnsi="Arial" w:cs="Times New Roman"/>
        </w:rPr>
        <w:t>m, National Treasury</w:t>
      </w:r>
      <w:r w:rsidRPr="00841FA7">
        <w:rPr>
          <w:rFonts w:ascii="Arial" w:hAnsi="Arial" w:cs="Times New Roman"/>
        </w:rPr>
        <w:t>, the South African Union of Students and t</w:t>
      </w:r>
      <w:r>
        <w:rPr>
          <w:rFonts w:ascii="Arial" w:hAnsi="Arial" w:cs="Times New Roman"/>
        </w:rPr>
        <w:t xml:space="preserve">he Council on Higher Education </w:t>
      </w:r>
      <w:r w:rsidRPr="00841FA7">
        <w:rPr>
          <w:rFonts w:ascii="Arial" w:hAnsi="Arial" w:cs="Times New Roman"/>
        </w:rPr>
        <w:t>has been established to identify current and projected funding challenges and propose policy and legislative amendments in line with the recommendations of the Working Group on fee-free education</w:t>
      </w:r>
      <w:r>
        <w:rPr>
          <w:rFonts w:ascii="Arial" w:hAnsi="Arial" w:cs="Times New Roman"/>
        </w:rPr>
        <w:t>,</w:t>
      </w:r>
      <w:r w:rsidRPr="00841FA7">
        <w:rPr>
          <w:rFonts w:ascii="Arial" w:hAnsi="Arial" w:cs="Times New Roman"/>
        </w:rPr>
        <w:t xml:space="preserve"> as well as the recommendations articulated in the National Development Plan that “all students who qualify for NSFAS must be provided access to full funding through loans and bursaries to cover costs of tuition, books, accommodation and living expenses”. </w:t>
      </w:r>
    </w:p>
    <w:p w:rsidR="00A04311" w:rsidRDefault="00A04311" w:rsidP="00A04311">
      <w:pPr>
        <w:pStyle w:val="ColorfulList-Accent11"/>
        <w:spacing w:before="100" w:beforeAutospacing="1" w:after="100" w:afterAutospacing="1" w:line="360" w:lineRule="auto"/>
        <w:ind w:left="709"/>
        <w:jc w:val="both"/>
        <w:outlineLvl w:val="0"/>
        <w:rPr>
          <w:rFonts w:ascii="Arial" w:hAnsi="Arial" w:cs="Arial"/>
        </w:rPr>
      </w:pPr>
    </w:p>
    <w:p w:rsidR="00A04311" w:rsidRDefault="00EA1FC8" w:rsidP="00A04311">
      <w:pPr>
        <w:pStyle w:val="ColorfulList-Accent11"/>
        <w:numPr>
          <w:ilvl w:val="0"/>
          <w:numId w:val="29"/>
        </w:numPr>
        <w:spacing w:before="100" w:beforeAutospacing="1" w:after="100" w:afterAutospacing="1" w:line="360" w:lineRule="auto"/>
        <w:jc w:val="both"/>
        <w:outlineLvl w:val="0"/>
        <w:rPr>
          <w:rFonts w:ascii="Arial" w:hAnsi="Arial" w:cs="Arial"/>
        </w:rPr>
      </w:pPr>
      <w:r>
        <w:rPr>
          <w:rFonts w:ascii="Arial" w:hAnsi="Arial" w:cs="Arial"/>
        </w:rPr>
        <w:t>A copy of the report is a</w:t>
      </w:r>
      <w:r w:rsidR="009C1639">
        <w:rPr>
          <w:rFonts w:ascii="Arial" w:hAnsi="Arial" w:cs="Arial"/>
        </w:rPr>
        <w:t>vailable on the following link</w:t>
      </w:r>
      <w:r w:rsidR="00A61673">
        <w:rPr>
          <w:rFonts w:ascii="Arial" w:hAnsi="Arial" w:cs="Arial"/>
        </w:rPr>
        <w:t>:</w:t>
      </w:r>
    </w:p>
    <w:p w:rsidR="00EA1FC8" w:rsidRDefault="003A3344" w:rsidP="00A04311">
      <w:pPr>
        <w:pStyle w:val="ColorfulList-Accent11"/>
        <w:spacing w:before="100" w:beforeAutospacing="1" w:after="100" w:afterAutospacing="1" w:line="360" w:lineRule="auto"/>
        <w:ind w:left="0" w:firstLine="720"/>
        <w:jc w:val="both"/>
        <w:outlineLvl w:val="0"/>
        <w:rPr>
          <w:rFonts w:ascii="Arial" w:hAnsi="Arial" w:cs="Arial"/>
        </w:rPr>
      </w:pPr>
      <w:hyperlink r:id="rId5" w:history="1">
        <w:r w:rsidRPr="00D244AA">
          <w:rPr>
            <w:rStyle w:val="Hyperlink"/>
            <w:rFonts w:ascii="Arial" w:hAnsi="Arial" w:cs="Arial"/>
          </w:rPr>
          <w:t>http://www</w:t>
        </w:r>
        <w:r w:rsidRPr="00D244AA">
          <w:rPr>
            <w:rStyle w:val="Hyperlink"/>
            <w:rFonts w:ascii="Arial" w:hAnsi="Arial" w:cs="Arial"/>
          </w:rPr>
          <w:t>.dhet.gov.za/SitePages/OrgUniversities.aspx</w:t>
        </w:r>
      </w:hyperlink>
      <w:r>
        <w:rPr>
          <w:rFonts w:ascii="Arial" w:hAnsi="Arial" w:cs="Arial"/>
        </w:rPr>
        <w:t xml:space="preserve"> </w:t>
      </w:r>
    </w:p>
    <w:p w:rsidR="003A3344" w:rsidRDefault="003A3344" w:rsidP="00E86AAE">
      <w:pPr>
        <w:pStyle w:val="ColorfulList-Accent11"/>
        <w:spacing w:before="100" w:beforeAutospacing="1" w:after="100" w:afterAutospacing="1" w:line="360" w:lineRule="auto"/>
        <w:jc w:val="both"/>
        <w:outlineLvl w:val="0"/>
        <w:rPr>
          <w:rFonts w:ascii="Arial" w:hAnsi="Arial" w:cs="Arial"/>
        </w:rPr>
      </w:pPr>
    </w:p>
    <w:p w:rsidR="00D4613F" w:rsidRPr="00841FA7" w:rsidRDefault="00D4613F" w:rsidP="00841FA7">
      <w:pPr>
        <w:pStyle w:val="ColorfulList-Accent11"/>
        <w:spacing w:before="100" w:beforeAutospacing="1" w:after="100" w:afterAutospacing="1" w:line="360" w:lineRule="auto"/>
        <w:outlineLvl w:val="0"/>
        <w:rPr>
          <w:rFonts w:ascii="Arial" w:hAnsi="Arial" w:cs="Arial"/>
        </w:rPr>
      </w:pPr>
    </w:p>
    <w:p w:rsidR="00C3677B" w:rsidRPr="00841FA7" w:rsidRDefault="00FE76FA" w:rsidP="00841FA7">
      <w:pPr>
        <w:pStyle w:val="ColorfulList-Accent11"/>
        <w:spacing w:before="100" w:beforeAutospacing="1" w:after="100" w:afterAutospacing="1" w:line="360" w:lineRule="auto"/>
        <w:ind w:left="0"/>
        <w:jc w:val="both"/>
        <w:outlineLvl w:val="0"/>
        <w:rPr>
          <w:rFonts w:ascii="Arial" w:hAnsi="Arial" w:cs="Arial"/>
        </w:rPr>
      </w:pPr>
      <w:r w:rsidRPr="00841FA7">
        <w:rPr>
          <w:rFonts w:ascii="Arial" w:hAnsi="Arial" w:cs="Arial"/>
        </w:rPr>
        <w:br w:type="page"/>
      </w:r>
      <w:r w:rsidR="009954C4" w:rsidRPr="00841FA7">
        <w:rPr>
          <w:rFonts w:ascii="Arial" w:hAnsi="Arial" w:cs="Arial"/>
        </w:rPr>
        <w:lastRenderedPageBreak/>
        <w:t>Compiler/</w:t>
      </w:r>
      <w:r w:rsidR="00C3677B" w:rsidRPr="00841FA7">
        <w:rPr>
          <w:rFonts w:ascii="Arial" w:hAnsi="Arial" w:cs="Arial"/>
        </w:rPr>
        <w:t xml:space="preserve">contact persons: </w:t>
      </w:r>
    </w:p>
    <w:p w:rsidR="00C3677B" w:rsidRPr="00841FA7" w:rsidRDefault="000C425D" w:rsidP="00841FA7">
      <w:pPr>
        <w:spacing w:line="360" w:lineRule="auto"/>
        <w:jc w:val="both"/>
        <w:rPr>
          <w:rFonts w:ascii="Arial" w:hAnsi="Arial" w:cs="Arial"/>
        </w:rPr>
      </w:pPr>
      <w:r w:rsidRPr="00841FA7">
        <w:rPr>
          <w:rFonts w:ascii="Arial" w:hAnsi="Arial" w:cs="Arial"/>
        </w:rPr>
        <w:t>Ext:</w:t>
      </w:r>
      <w:r w:rsidR="00FE76FA" w:rsidRPr="00841FA7">
        <w:rPr>
          <w:rFonts w:ascii="Arial" w:hAnsi="Arial" w:cs="Arial"/>
        </w:rPr>
        <w:t xml:space="preserve"> </w:t>
      </w:r>
    </w:p>
    <w:p w:rsidR="003E455E" w:rsidRPr="00841FA7" w:rsidRDefault="003E455E" w:rsidP="00841FA7">
      <w:pPr>
        <w:spacing w:line="360" w:lineRule="auto"/>
        <w:jc w:val="both"/>
        <w:rPr>
          <w:rFonts w:ascii="Arial" w:hAnsi="Arial" w:cs="Arial"/>
        </w:rPr>
      </w:pPr>
    </w:p>
    <w:p w:rsidR="00A0228E" w:rsidRPr="00841FA7" w:rsidRDefault="00A0228E" w:rsidP="00841FA7">
      <w:pPr>
        <w:spacing w:line="360" w:lineRule="auto"/>
        <w:jc w:val="both"/>
        <w:rPr>
          <w:rFonts w:ascii="Arial" w:hAnsi="Arial" w:cs="Arial"/>
        </w:rPr>
      </w:pPr>
    </w:p>
    <w:p w:rsidR="000C425D" w:rsidRPr="00841FA7" w:rsidRDefault="000C425D" w:rsidP="00841FA7">
      <w:pPr>
        <w:spacing w:line="360" w:lineRule="auto"/>
        <w:jc w:val="both"/>
        <w:rPr>
          <w:rFonts w:ascii="Arial" w:hAnsi="Arial" w:cs="Arial"/>
        </w:rPr>
      </w:pPr>
    </w:p>
    <w:p w:rsidR="00C3677B" w:rsidRPr="00841FA7" w:rsidRDefault="00C3677B" w:rsidP="00DC256F">
      <w:pPr>
        <w:spacing w:line="360" w:lineRule="auto"/>
        <w:jc w:val="both"/>
        <w:rPr>
          <w:rFonts w:ascii="Arial" w:hAnsi="Arial" w:cs="Arial"/>
        </w:rPr>
      </w:pPr>
      <w:r w:rsidRPr="00841FA7">
        <w:rPr>
          <w:rFonts w:ascii="Arial" w:hAnsi="Arial" w:cs="Arial"/>
        </w:rPr>
        <w:t>DIRECTOR –</w:t>
      </w:r>
      <w:r w:rsidR="00DE6F6F" w:rsidRPr="00841FA7">
        <w:rPr>
          <w:rFonts w:ascii="Arial" w:hAnsi="Arial" w:cs="Arial"/>
        </w:rPr>
        <w:t xml:space="preserve"> </w:t>
      </w:r>
      <w:r w:rsidRPr="00841FA7">
        <w:rPr>
          <w:rFonts w:ascii="Arial" w:hAnsi="Arial" w:cs="Arial"/>
        </w:rPr>
        <w:t>GENERAL</w:t>
      </w:r>
    </w:p>
    <w:p w:rsidR="00C3677B" w:rsidRPr="00841FA7" w:rsidRDefault="00C3677B" w:rsidP="00DC256F">
      <w:pPr>
        <w:spacing w:line="360" w:lineRule="auto"/>
        <w:jc w:val="both"/>
        <w:rPr>
          <w:rFonts w:ascii="Arial" w:hAnsi="Arial" w:cs="Arial"/>
        </w:rPr>
      </w:pPr>
      <w:r w:rsidRPr="00841FA7">
        <w:rPr>
          <w:rFonts w:ascii="Arial" w:hAnsi="Arial" w:cs="Arial"/>
        </w:rPr>
        <w:t>STATUS:</w:t>
      </w:r>
    </w:p>
    <w:p w:rsidR="00C3677B" w:rsidRPr="00841FA7" w:rsidRDefault="00C3677B" w:rsidP="00DC256F">
      <w:pPr>
        <w:spacing w:line="360" w:lineRule="auto"/>
        <w:jc w:val="both"/>
        <w:rPr>
          <w:rFonts w:ascii="Arial" w:hAnsi="Arial" w:cs="Arial"/>
        </w:rPr>
      </w:pPr>
      <w:r w:rsidRPr="00841FA7">
        <w:rPr>
          <w:rFonts w:ascii="Arial" w:hAnsi="Arial" w:cs="Arial"/>
        </w:rPr>
        <w:t>DATE:</w:t>
      </w:r>
    </w:p>
    <w:p w:rsidR="00245A6B" w:rsidRPr="00841FA7" w:rsidRDefault="00245A6B" w:rsidP="00DC256F">
      <w:pPr>
        <w:spacing w:line="360" w:lineRule="auto"/>
        <w:jc w:val="both"/>
        <w:rPr>
          <w:rFonts w:ascii="Arial" w:hAnsi="Arial" w:cs="Arial"/>
        </w:rPr>
      </w:pPr>
    </w:p>
    <w:p w:rsidR="003E455E" w:rsidRPr="00841FA7" w:rsidRDefault="003E455E" w:rsidP="00DC256F">
      <w:pPr>
        <w:spacing w:line="360" w:lineRule="auto"/>
        <w:jc w:val="both"/>
        <w:rPr>
          <w:rFonts w:ascii="Arial" w:hAnsi="Arial" w:cs="Arial"/>
        </w:rPr>
      </w:pPr>
    </w:p>
    <w:p w:rsidR="00A0228E" w:rsidRPr="00841FA7" w:rsidRDefault="00A0228E" w:rsidP="00DC256F">
      <w:pPr>
        <w:spacing w:line="360" w:lineRule="auto"/>
        <w:jc w:val="both"/>
        <w:rPr>
          <w:rFonts w:ascii="Arial" w:hAnsi="Arial" w:cs="Arial"/>
        </w:rPr>
      </w:pPr>
    </w:p>
    <w:p w:rsidR="003E455E" w:rsidRPr="00841FA7" w:rsidRDefault="003E455E" w:rsidP="00DC256F">
      <w:pPr>
        <w:spacing w:line="360" w:lineRule="auto"/>
        <w:jc w:val="both"/>
        <w:rPr>
          <w:rFonts w:ascii="Arial" w:hAnsi="Arial" w:cs="Arial"/>
        </w:rPr>
      </w:pPr>
    </w:p>
    <w:p w:rsidR="00C3677B" w:rsidRPr="00841FA7" w:rsidRDefault="00FB6AE9" w:rsidP="00DC256F">
      <w:pPr>
        <w:spacing w:line="360" w:lineRule="auto"/>
        <w:jc w:val="both"/>
        <w:rPr>
          <w:rFonts w:ascii="Arial" w:hAnsi="Arial" w:cs="Arial"/>
        </w:rPr>
      </w:pPr>
      <w:r w:rsidRPr="00841FA7">
        <w:rPr>
          <w:rFonts w:ascii="Arial" w:hAnsi="Arial" w:cs="Arial"/>
        </w:rPr>
        <w:t xml:space="preserve">REPLY TO </w:t>
      </w:r>
      <w:r w:rsidR="00C3677B" w:rsidRPr="00841FA7">
        <w:rPr>
          <w:rFonts w:ascii="Arial" w:hAnsi="Arial" w:cs="Arial"/>
        </w:rPr>
        <w:t xml:space="preserve">QUESTION </w:t>
      </w:r>
      <w:r w:rsidR="001C7AF6">
        <w:rPr>
          <w:rFonts w:ascii="Arial" w:hAnsi="Arial" w:cs="Arial"/>
        </w:rPr>
        <w:t>3849</w:t>
      </w:r>
      <w:r w:rsidR="00E02103" w:rsidRPr="00841FA7">
        <w:rPr>
          <w:rFonts w:ascii="Arial" w:hAnsi="Arial" w:cs="Arial"/>
        </w:rPr>
        <w:t xml:space="preserve"> </w:t>
      </w:r>
      <w:r w:rsidR="00C3677B" w:rsidRPr="00841FA7">
        <w:rPr>
          <w:rFonts w:ascii="Arial" w:hAnsi="Arial" w:cs="Arial"/>
        </w:rPr>
        <w:t xml:space="preserve">APPROVED/NOT APPROVED/AMENDED </w:t>
      </w:r>
    </w:p>
    <w:p w:rsidR="00C3677B" w:rsidRPr="00841FA7" w:rsidRDefault="00C3677B" w:rsidP="00DC256F">
      <w:pPr>
        <w:spacing w:line="360" w:lineRule="auto"/>
        <w:jc w:val="both"/>
        <w:rPr>
          <w:rFonts w:ascii="Arial" w:hAnsi="Arial" w:cs="Arial"/>
        </w:rPr>
      </w:pPr>
    </w:p>
    <w:p w:rsidR="00245A6B" w:rsidRPr="00841FA7" w:rsidRDefault="00245A6B" w:rsidP="00DC256F">
      <w:pPr>
        <w:spacing w:line="360" w:lineRule="auto"/>
        <w:jc w:val="both"/>
        <w:rPr>
          <w:rFonts w:ascii="Arial" w:hAnsi="Arial" w:cs="Arial"/>
        </w:rPr>
      </w:pPr>
    </w:p>
    <w:p w:rsidR="00A0228E" w:rsidRDefault="00A0228E" w:rsidP="00DC256F">
      <w:pPr>
        <w:spacing w:line="360" w:lineRule="auto"/>
        <w:jc w:val="both"/>
        <w:rPr>
          <w:rFonts w:ascii="Arial" w:hAnsi="Arial" w:cs="Arial"/>
        </w:rPr>
      </w:pPr>
    </w:p>
    <w:p w:rsidR="003E455E" w:rsidRPr="003C5A76" w:rsidRDefault="003E455E" w:rsidP="00DC256F">
      <w:pPr>
        <w:spacing w:line="360" w:lineRule="auto"/>
        <w:jc w:val="both"/>
        <w:rPr>
          <w:rFonts w:ascii="Arial" w:hAnsi="Arial" w:cs="Arial"/>
        </w:rPr>
      </w:pPr>
    </w:p>
    <w:p w:rsidR="00C3677B" w:rsidRPr="003C5A76" w:rsidRDefault="00C3677B" w:rsidP="00DC256F">
      <w:pPr>
        <w:spacing w:line="360" w:lineRule="auto"/>
        <w:jc w:val="both"/>
        <w:rPr>
          <w:rFonts w:ascii="Arial" w:hAnsi="Arial" w:cs="Arial"/>
        </w:rPr>
      </w:pPr>
    </w:p>
    <w:p w:rsidR="00C3677B" w:rsidRPr="003C5A76" w:rsidRDefault="00C3677B" w:rsidP="00DC256F">
      <w:pPr>
        <w:spacing w:line="360" w:lineRule="auto"/>
        <w:jc w:val="both"/>
        <w:rPr>
          <w:rFonts w:ascii="Arial" w:hAnsi="Arial" w:cs="Arial"/>
        </w:rPr>
      </w:pPr>
      <w:r w:rsidRPr="003C5A76">
        <w:rPr>
          <w:rFonts w:ascii="Arial" w:hAnsi="Arial" w:cs="Arial"/>
        </w:rPr>
        <w:t>Dr B</w:t>
      </w:r>
      <w:r w:rsidR="00AD63BD">
        <w:rPr>
          <w:rFonts w:ascii="Arial" w:hAnsi="Arial" w:cs="Arial"/>
        </w:rPr>
        <w:t>E</w:t>
      </w:r>
      <w:r w:rsidRPr="003C5A76">
        <w:rPr>
          <w:rFonts w:ascii="Arial" w:hAnsi="Arial" w:cs="Arial"/>
        </w:rPr>
        <w:t xml:space="preserve"> NZIMANDE, MP</w:t>
      </w:r>
    </w:p>
    <w:p w:rsidR="00C3677B" w:rsidRPr="003C5A76" w:rsidRDefault="00C3677B" w:rsidP="00DC256F">
      <w:pPr>
        <w:spacing w:line="360" w:lineRule="auto"/>
        <w:jc w:val="both"/>
        <w:rPr>
          <w:rFonts w:ascii="Arial" w:hAnsi="Arial" w:cs="Arial"/>
        </w:rPr>
      </w:pPr>
      <w:r w:rsidRPr="003C5A76">
        <w:rPr>
          <w:rFonts w:ascii="Arial" w:hAnsi="Arial" w:cs="Arial"/>
        </w:rPr>
        <w:t>MINISTER OF HIGHER EDUCATION AND TRAINING</w:t>
      </w:r>
    </w:p>
    <w:p w:rsidR="00C3677B" w:rsidRPr="003C5A76" w:rsidRDefault="00C3677B" w:rsidP="00DC256F">
      <w:pPr>
        <w:spacing w:line="360" w:lineRule="auto"/>
        <w:jc w:val="both"/>
        <w:rPr>
          <w:rFonts w:ascii="Arial" w:hAnsi="Arial" w:cs="Arial"/>
        </w:rPr>
      </w:pPr>
      <w:r w:rsidRPr="003C5A76">
        <w:rPr>
          <w:rFonts w:ascii="Arial" w:hAnsi="Arial" w:cs="Arial"/>
        </w:rPr>
        <w:t>STATUS:</w:t>
      </w:r>
    </w:p>
    <w:p w:rsidR="00C3677B" w:rsidRPr="003C5A76" w:rsidRDefault="00C3677B" w:rsidP="00DC256F">
      <w:pPr>
        <w:spacing w:line="360" w:lineRule="auto"/>
        <w:jc w:val="both"/>
        <w:rPr>
          <w:rFonts w:ascii="Arial" w:hAnsi="Arial" w:cs="Arial"/>
        </w:rPr>
      </w:pPr>
      <w:r w:rsidRPr="003C5A76">
        <w:rPr>
          <w:rFonts w:ascii="Arial" w:hAnsi="Arial" w:cs="Arial"/>
        </w:rPr>
        <w:t>DATE:</w:t>
      </w:r>
    </w:p>
    <w:sectPr w:rsidR="00C3677B" w:rsidRPr="003C5A76" w:rsidSect="0015436C">
      <w:pgSz w:w="12240" w:h="15840"/>
      <w:pgMar w:top="1440" w:right="1440" w:bottom="1440"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44E31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F3104"/>
    <w:multiLevelType w:val="hybridMultilevel"/>
    <w:tmpl w:val="6282A110"/>
    <w:lvl w:ilvl="0" w:tplc="430A4ECE">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C70603A"/>
    <w:multiLevelType w:val="hybridMultilevel"/>
    <w:tmpl w:val="01AA2946"/>
    <w:lvl w:ilvl="0" w:tplc="22080562">
      <w:start w:val="13"/>
      <w:numFmt w:val="bullet"/>
      <w:lvlText w:val=""/>
      <w:lvlJc w:val="left"/>
      <w:pPr>
        <w:tabs>
          <w:tab w:val="num" w:pos="720"/>
        </w:tabs>
        <w:ind w:left="720" w:hanging="360"/>
      </w:pPr>
      <w:rPr>
        <w:rFonts w:ascii="Symbol" w:eastAsia="SimSun" w:hAnsi="Symbol" w:cs="Times New Roman" w:hint="default"/>
      </w:rPr>
    </w:lvl>
    <w:lvl w:ilvl="1" w:tplc="1C090003" w:tentative="1">
      <w:start w:val="1"/>
      <w:numFmt w:val="bullet"/>
      <w:lvlText w:val="o"/>
      <w:lvlJc w:val="left"/>
      <w:pPr>
        <w:tabs>
          <w:tab w:val="num" w:pos="1440"/>
        </w:tabs>
        <w:ind w:left="1440" w:hanging="360"/>
      </w:pPr>
      <w:rPr>
        <w:rFonts w:ascii="Courier New" w:hAnsi="Courier New" w:cs="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3">
    <w:nsid w:val="0CC472E6"/>
    <w:multiLevelType w:val="hybridMultilevel"/>
    <w:tmpl w:val="282CA2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FEA4448"/>
    <w:multiLevelType w:val="hybridMultilevel"/>
    <w:tmpl w:val="9738BFC8"/>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11A92666"/>
    <w:multiLevelType w:val="hybridMultilevel"/>
    <w:tmpl w:val="89A02B56"/>
    <w:lvl w:ilvl="0" w:tplc="1C090011">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4CE5B4E"/>
    <w:multiLevelType w:val="hybridMultilevel"/>
    <w:tmpl w:val="1CA4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4A54D0"/>
    <w:multiLevelType w:val="hybridMultilevel"/>
    <w:tmpl w:val="EEE08A5A"/>
    <w:lvl w:ilvl="0" w:tplc="1C090003">
      <w:start w:val="1"/>
      <w:numFmt w:val="bullet"/>
      <w:lvlText w:val="o"/>
      <w:lvlJc w:val="left"/>
      <w:pPr>
        <w:tabs>
          <w:tab w:val="num" w:pos="720"/>
        </w:tabs>
        <w:ind w:left="720" w:hanging="360"/>
      </w:pPr>
      <w:rPr>
        <w:rFonts w:ascii="Courier New" w:hAnsi="Courier New" w:cs="Courier New" w:hint="default"/>
      </w:rPr>
    </w:lvl>
    <w:lvl w:ilvl="1" w:tplc="1C090003" w:tentative="1">
      <w:start w:val="1"/>
      <w:numFmt w:val="bullet"/>
      <w:lvlText w:val="o"/>
      <w:lvlJc w:val="left"/>
      <w:pPr>
        <w:tabs>
          <w:tab w:val="num" w:pos="1440"/>
        </w:tabs>
        <w:ind w:left="1440" w:hanging="360"/>
      </w:pPr>
      <w:rPr>
        <w:rFonts w:ascii="Courier New" w:hAnsi="Courier New" w:cs="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8">
    <w:nsid w:val="228D31B2"/>
    <w:multiLevelType w:val="hybridMultilevel"/>
    <w:tmpl w:val="4B78B812"/>
    <w:lvl w:ilvl="0" w:tplc="430A4ECE">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93F11C7"/>
    <w:multiLevelType w:val="hybridMultilevel"/>
    <w:tmpl w:val="A3907E60"/>
    <w:lvl w:ilvl="0" w:tplc="A46A0E0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E250AC2"/>
    <w:multiLevelType w:val="hybridMultilevel"/>
    <w:tmpl w:val="C24ECA6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CE015B0"/>
    <w:multiLevelType w:val="hybridMultilevel"/>
    <w:tmpl w:val="D5D84886"/>
    <w:lvl w:ilvl="0" w:tplc="67BAAE2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0204492"/>
    <w:multiLevelType w:val="hybridMultilevel"/>
    <w:tmpl w:val="A9F214F4"/>
    <w:lvl w:ilvl="0" w:tplc="DB947C2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41797FD7"/>
    <w:multiLevelType w:val="hybridMultilevel"/>
    <w:tmpl w:val="002ACE00"/>
    <w:lvl w:ilvl="0" w:tplc="8B10849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3211DB9"/>
    <w:multiLevelType w:val="hybridMultilevel"/>
    <w:tmpl w:val="685E3F10"/>
    <w:lvl w:ilvl="0" w:tplc="B87E3AFC">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4A6A0256"/>
    <w:multiLevelType w:val="multilevel"/>
    <w:tmpl w:val="F4E0E7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B220C7C"/>
    <w:multiLevelType w:val="hybridMultilevel"/>
    <w:tmpl w:val="4532F2CC"/>
    <w:lvl w:ilvl="0" w:tplc="1382CDE6">
      <w:start w:val="1"/>
      <w:numFmt w:val="lowerLetter"/>
      <w:lvlText w:val="%1."/>
      <w:lvlJc w:val="left"/>
      <w:pPr>
        <w:ind w:left="1005" w:hanging="360"/>
      </w:pPr>
      <w:rPr>
        <w:b w:val="0"/>
      </w:rPr>
    </w:lvl>
    <w:lvl w:ilvl="1" w:tplc="1C090019" w:tentative="1">
      <w:start w:val="1"/>
      <w:numFmt w:val="lowerLetter"/>
      <w:lvlText w:val="%2."/>
      <w:lvlJc w:val="left"/>
      <w:pPr>
        <w:ind w:left="1725" w:hanging="360"/>
      </w:pPr>
    </w:lvl>
    <w:lvl w:ilvl="2" w:tplc="1C09001B" w:tentative="1">
      <w:start w:val="1"/>
      <w:numFmt w:val="lowerRoman"/>
      <w:lvlText w:val="%3."/>
      <w:lvlJc w:val="right"/>
      <w:pPr>
        <w:ind w:left="2445" w:hanging="180"/>
      </w:pPr>
    </w:lvl>
    <w:lvl w:ilvl="3" w:tplc="1C09000F" w:tentative="1">
      <w:start w:val="1"/>
      <w:numFmt w:val="decimal"/>
      <w:lvlText w:val="%4."/>
      <w:lvlJc w:val="left"/>
      <w:pPr>
        <w:ind w:left="3165" w:hanging="360"/>
      </w:pPr>
    </w:lvl>
    <w:lvl w:ilvl="4" w:tplc="1C090019" w:tentative="1">
      <w:start w:val="1"/>
      <w:numFmt w:val="lowerLetter"/>
      <w:lvlText w:val="%5."/>
      <w:lvlJc w:val="left"/>
      <w:pPr>
        <w:ind w:left="3885" w:hanging="360"/>
      </w:pPr>
    </w:lvl>
    <w:lvl w:ilvl="5" w:tplc="1C09001B" w:tentative="1">
      <w:start w:val="1"/>
      <w:numFmt w:val="lowerRoman"/>
      <w:lvlText w:val="%6."/>
      <w:lvlJc w:val="right"/>
      <w:pPr>
        <w:ind w:left="4605" w:hanging="180"/>
      </w:pPr>
    </w:lvl>
    <w:lvl w:ilvl="6" w:tplc="1C09000F" w:tentative="1">
      <w:start w:val="1"/>
      <w:numFmt w:val="decimal"/>
      <w:lvlText w:val="%7."/>
      <w:lvlJc w:val="left"/>
      <w:pPr>
        <w:ind w:left="5325" w:hanging="360"/>
      </w:pPr>
    </w:lvl>
    <w:lvl w:ilvl="7" w:tplc="1C090019" w:tentative="1">
      <w:start w:val="1"/>
      <w:numFmt w:val="lowerLetter"/>
      <w:lvlText w:val="%8."/>
      <w:lvlJc w:val="left"/>
      <w:pPr>
        <w:ind w:left="6045" w:hanging="360"/>
      </w:pPr>
    </w:lvl>
    <w:lvl w:ilvl="8" w:tplc="1C09001B" w:tentative="1">
      <w:start w:val="1"/>
      <w:numFmt w:val="lowerRoman"/>
      <w:lvlText w:val="%9."/>
      <w:lvlJc w:val="right"/>
      <w:pPr>
        <w:ind w:left="6765" w:hanging="180"/>
      </w:pPr>
    </w:lvl>
  </w:abstractNum>
  <w:abstractNum w:abstractNumId="17">
    <w:nsid w:val="5A1A5B66"/>
    <w:multiLevelType w:val="hybridMultilevel"/>
    <w:tmpl w:val="3D7C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565818"/>
    <w:multiLevelType w:val="hybridMultilevel"/>
    <w:tmpl w:val="EBA0101C"/>
    <w:lvl w:ilvl="0" w:tplc="5EEAD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15585A"/>
    <w:multiLevelType w:val="hybridMultilevel"/>
    <w:tmpl w:val="616E2A54"/>
    <w:lvl w:ilvl="0" w:tplc="617C436E">
      <w:start w:val="29"/>
      <w:numFmt w:val="bullet"/>
      <w:lvlText w:val=""/>
      <w:lvlJc w:val="left"/>
      <w:pPr>
        <w:tabs>
          <w:tab w:val="num" w:pos="720"/>
        </w:tabs>
        <w:ind w:left="720" w:hanging="360"/>
      </w:pPr>
      <w:rPr>
        <w:rFonts w:ascii="Symbol" w:eastAsia="SimSun" w:hAnsi="Symbol" w:cs="Times New Roman" w:hint="default"/>
      </w:rPr>
    </w:lvl>
    <w:lvl w:ilvl="1" w:tplc="1C090003" w:tentative="1">
      <w:start w:val="1"/>
      <w:numFmt w:val="bullet"/>
      <w:lvlText w:val="o"/>
      <w:lvlJc w:val="left"/>
      <w:pPr>
        <w:tabs>
          <w:tab w:val="num" w:pos="1440"/>
        </w:tabs>
        <w:ind w:left="1440" w:hanging="360"/>
      </w:pPr>
      <w:rPr>
        <w:rFonts w:ascii="Courier New" w:hAnsi="Courier New" w:cs="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20">
    <w:nsid w:val="6B68516F"/>
    <w:multiLevelType w:val="hybridMultilevel"/>
    <w:tmpl w:val="51769128"/>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6B9750F0"/>
    <w:multiLevelType w:val="hybridMultilevel"/>
    <w:tmpl w:val="77265CE6"/>
    <w:lvl w:ilvl="0" w:tplc="430A4ECE">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70C741B1"/>
    <w:multiLevelType w:val="hybridMultilevel"/>
    <w:tmpl w:val="15DAA092"/>
    <w:lvl w:ilvl="0" w:tplc="E098C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13605F9"/>
    <w:multiLevelType w:val="hybridMultilevel"/>
    <w:tmpl w:val="8E96868C"/>
    <w:lvl w:ilvl="0" w:tplc="3322E674">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1435FFF"/>
    <w:multiLevelType w:val="hybridMultilevel"/>
    <w:tmpl w:val="B762D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855056"/>
    <w:multiLevelType w:val="hybridMultilevel"/>
    <w:tmpl w:val="68B2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431DC2"/>
    <w:multiLevelType w:val="hybridMultilevel"/>
    <w:tmpl w:val="A61E7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E262D8"/>
    <w:multiLevelType w:val="hybridMultilevel"/>
    <w:tmpl w:val="AADAE986"/>
    <w:lvl w:ilvl="0" w:tplc="1C090003">
      <w:start w:val="1"/>
      <w:numFmt w:val="bullet"/>
      <w:lvlText w:val="o"/>
      <w:lvlJc w:val="left"/>
      <w:pPr>
        <w:tabs>
          <w:tab w:val="num" w:pos="720"/>
        </w:tabs>
        <w:ind w:left="720" w:hanging="360"/>
      </w:pPr>
      <w:rPr>
        <w:rFonts w:ascii="Courier New" w:hAnsi="Courier New" w:cs="Courier New" w:hint="default"/>
      </w:rPr>
    </w:lvl>
    <w:lvl w:ilvl="1" w:tplc="1C090003" w:tentative="1">
      <w:start w:val="1"/>
      <w:numFmt w:val="bullet"/>
      <w:lvlText w:val="o"/>
      <w:lvlJc w:val="left"/>
      <w:pPr>
        <w:tabs>
          <w:tab w:val="num" w:pos="1440"/>
        </w:tabs>
        <w:ind w:left="1440" w:hanging="360"/>
      </w:pPr>
      <w:rPr>
        <w:rFonts w:ascii="Courier New" w:hAnsi="Courier New" w:cs="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28">
    <w:nsid w:val="7B0256EA"/>
    <w:multiLevelType w:val="hybridMultilevel"/>
    <w:tmpl w:val="21F06378"/>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8"/>
  </w:num>
  <w:num w:numId="2">
    <w:abstractNumId w:val="14"/>
  </w:num>
  <w:num w:numId="3">
    <w:abstractNumId w:val="22"/>
  </w:num>
  <w:num w:numId="4">
    <w:abstractNumId w:val="6"/>
  </w:num>
  <w:num w:numId="5">
    <w:abstractNumId w:val="25"/>
  </w:num>
  <w:num w:numId="6">
    <w:abstractNumId w:val="17"/>
  </w:num>
  <w:num w:numId="7">
    <w:abstractNumId w:val="24"/>
  </w:num>
  <w:num w:numId="8">
    <w:abstractNumId w:val="3"/>
  </w:num>
  <w:num w:numId="9">
    <w:abstractNumId w:val="20"/>
  </w:num>
  <w:num w:numId="10">
    <w:abstractNumId w:val="16"/>
  </w:num>
  <w:num w:numId="11">
    <w:abstractNumId w:val="23"/>
  </w:num>
  <w:num w:numId="12">
    <w:abstractNumId w:val="8"/>
  </w:num>
  <w:num w:numId="13">
    <w:abstractNumId w:val="21"/>
  </w:num>
  <w:num w:numId="14">
    <w:abstractNumId w:val="11"/>
  </w:num>
  <w:num w:numId="15">
    <w:abstractNumId w:val="28"/>
  </w:num>
  <w:num w:numId="16">
    <w:abstractNumId w:val="13"/>
  </w:num>
  <w:num w:numId="17">
    <w:abstractNumId w:val="1"/>
  </w:num>
  <w:num w:numId="18">
    <w:abstractNumId w:val="9"/>
  </w:num>
  <w:num w:numId="19">
    <w:abstractNumId w:val="5"/>
  </w:num>
  <w:num w:numId="20">
    <w:abstractNumId w:val="15"/>
  </w:num>
  <w:num w:numId="21">
    <w:abstractNumId w:val="26"/>
  </w:num>
  <w:num w:numId="22">
    <w:abstractNumId w:val="19"/>
  </w:num>
  <w:num w:numId="23">
    <w:abstractNumId w:val="2"/>
  </w:num>
  <w:num w:numId="24">
    <w:abstractNumId w:val="27"/>
  </w:num>
  <w:num w:numId="25">
    <w:abstractNumId w:val="7"/>
  </w:num>
  <w:num w:numId="26">
    <w:abstractNumId w:val="0"/>
  </w:num>
  <w:num w:numId="27">
    <w:abstractNumId w:val="12"/>
  </w:num>
  <w:num w:numId="28">
    <w:abstractNumId w:val="10"/>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20"/>
  <w:hyphenationZone w:val="425"/>
  <w:doNotHyphenateCaps/>
  <w:characterSpacingControl w:val="doNotCompress"/>
  <w:doNotValidateAgainstSchema/>
  <w:doNotDemarcateInvalidXml/>
  <w:compat/>
  <w:rsids>
    <w:rsidRoot w:val="003D7858"/>
    <w:rsid w:val="000260DC"/>
    <w:rsid w:val="000579B9"/>
    <w:rsid w:val="0006096C"/>
    <w:rsid w:val="00073E41"/>
    <w:rsid w:val="00075314"/>
    <w:rsid w:val="00081EEC"/>
    <w:rsid w:val="000C425D"/>
    <w:rsid w:val="000D31C3"/>
    <w:rsid w:val="0010795D"/>
    <w:rsid w:val="00114C80"/>
    <w:rsid w:val="00125282"/>
    <w:rsid w:val="00143B52"/>
    <w:rsid w:val="00147C9B"/>
    <w:rsid w:val="0015436C"/>
    <w:rsid w:val="00170725"/>
    <w:rsid w:val="00191755"/>
    <w:rsid w:val="001A4AA0"/>
    <w:rsid w:val="001C6A3B"/>
    <w:rsid w:val="001C7AF6"/>
    <w:rsid w:val="001E36DF"/>
    <w:rsid w:val="001F01D3"/>
    <w:rsid w:val="0020779F"/>
    <w:rsid w:val="002077A6"/>
    <w:rsid w:val="00212B1A"/>
    <w:rsid w:val="00221F98"/>
    <w:rsid w:val="00245A6B"/>
    <w:rsid w:val="00265A26"/>
    <w:rsid w:val="002670F8"/>
    <w:rsid w:val="00270825"/>
    <w:rsid w:val="0029068F"/>
    <w:rsid w:val="0029445D"/>
    <w:rsid w:val="002B3376"/>
    <w:rsid w:val="002C60A6"/>
    <w:rsid w:val="002E776F"/>
    <w:rsid w:val="00300C93"/>
    <w:rsid w:val="00305BF7"/>
    <w:rsid w:val="00330B73"/>
    <w:rsid w:val="0035694A"/>
    <w:rsid w:val="00361776"/>
    <w:rsid w:val="003A3344"/>
    <w:rsid w:val="003B032F"/>
    <w:rsid w:val="003C5A76"/>
    <w:rsid w:val="003D08E3"/>
    <w:rsid w:val="003D7858"/>
    <w:rsid w:val="003E455E"/>
    <w:rsid w:val="003F0275"/>
    <w:rsid w:val="00412895"/>
    <w:rsid w:val="004167ED"/>
    <w:rsid w:val="004312FC"/>
    <w:rsid w:val="0043279D"/>
    <w:rsid w:val="004443D3"/>
    <w:rsid w:val="004457FC"/>
    <w:rsid w:val="004672ED"/>
    <w:rsid w:val="004C4F38"/>
    <w:rsid w:val="00501882"/>
    <w:rsid w:val="005237E8"/>
    <w:rsid w:val="00526784"/>
    <w:rsid w:val="00546958"/>
    <w:rsid w:val="00552E11"/>
    <w:rsid w:val="005577D9"/>
    <w:rsid w:val="00574DBC"/>
    <w:rsid w:val="00585D0E"/>
    <w:rsid w:val="005B696E"/>
    <w:rsid w:val="005C4278"/>
    <w:rsid w:val="005F58F4"/>
    <w:rsid w:val="006034E7"/>
    <w:rsid w:val="006128C2"/>
    <w:rsid w:val="00613250"/>
    <w:rsid w:val="00620EFD"/>
    <w:rsid w:val="00632EDF"/>
    <w:rsid w:val="00641A82"/>
    <w:rsid w:val="006552F7"/>
    <w:rsid w:val="006639B1"/>
    <w:rsid w:val="00667223"/>
    <w:rsid w:val="00667ADE"/>
    <w:rsid w:val="00670FA6"/>
    <w:rsid w:val="006732AD"/>
    <w:rsid w:val="006965DC"/>
    <w:rsid w:val="006B5024"/>
    <w:rsid w:val="006B7142"/>
    <w:rsid w:val="006C5FD1"/>
    <w:rsid w:val="007141FA"/>
    <w:rsid w:val="00714E5D"/>
    <w:rsid w:val="00714E82"/>
    <w:rsid w:val="0071591A"/>
    <w:rsid w:val="00740B88"/>
    <w:rsid w:val="0075414E"/>
    <w:rsid w:val="0077792E"/>
    <w:rsid w:val="007810CD"/>
    <w:rsid w:val="00781C81"/>
    <w:rsid w:val="00784578"/>
    <w:rsid w:val="00797051"/>
    <w:rsid w:val="007C7109"/>
    <w:rsid w:val="007F2D57"/>
    <w:rsid w:val="007F7092"/>
    <w:rsid w:val="00807715"/>
    <w:rsid w:val="00810FD4"/>
    <w:rsid w:val="00841FA7"/>
    <w:rsid w:val="008455F2"/>
    <w:rsid w:val="00857AAF"/>
    <w:rsid w:val="0088522F"/>
    <w:rsid w:val="00885BE0"/>
    <w:rsid w:val="008C68C5"/>
    <w:rsid w:val="008C705B"/>
    <w:rsid w:val="008C7B8D"/>
    <w:rsid w:val="008D3252"/>
    <w:rsid w:val="008E7375"/>
    <w:rsid w:val="00906DE8"/>
    <w:rsid w:val="00914499"/>
    <w:rsid w:val="00925943"/>
    <w:rsid w:val="00925E54"/>
    <w:rsid w:val="00933C19"/>
    <w:rsid w:val="0093534E"/>
    <w:rsid w:val="009754EB"/>
    <w:rsid w:val="009954C4"/>
    <w:rsid w:val="009A0102"/>
    <w:rsid w:val="009A4385"/>
    <w:rsid w:val="009B0E09"/>
    <w:rsid w:val="009C1639"/>
    <w:rsid w:val="009C1C15"/>
    <w:rsid w:val="009E70B2"/>
    <w:rsid w:val="00A01EED"/>
    <w:rsid w:val="00A0228E"/>
    <w:rsid w:val="00A04311"/>
    <w:rsid w:val="00A0439E"/>
    <w:rsid w:val="00A37101"/>
    <w:rsid w:val="00A51526"/>
    <w:rsid w:val="00A61673"/>
    <w:rsid w:val="00A8120A"/>
    <w:rsid w:val="00A81C37"/>
    <w:rsid w:val="00AA246C"/>
    <w:rsid w:val="00AA4A31"/>
    <w:rsid w:val="00AD63BD"/>
    <w:rsid w:val="00AE0682"/>
    <w:rsid w:val="00B04DFF"/>
    <w:rsid w:val="00B12389"/>
    <w:rsid w:val="00B3198B"/>
    <w:rsid w:val="00B357B9"/>
    <w:rsid w:val="00B42D63"/>
    <w:rsid w:val="00B458F1"/>
    <w:rsid w:val="00B51B7E"/>
    <w:rsid w:val="00B772CD"/>
    <w:rsid w:val="00B8505E"/>
    <w:rsid w:val="00BC6170"/>
    <w:rsid w:val="00BD01A4"/>
    <w:rsid w:val="00BD057A"/>
    <w:rsid w:val="00C00D39"/>
    <w:rsid w:val="00C3677B"/>
    <w:rsid w:val="00C41E18"/>
    <w:rsid w:val="00C50064"/>
    <w:rsid w:val="00C53953"/>
    <w:rsid w:val="00C56AAD"/>
    <w:rsid w:val="00C654A2"/>
    <w:rsid w:val="00C67AB9"/>
    <w:rsid w:val="00C736F7"/>
    <w:rsid w:val="00C8298B"/>
    <w:rsid w:val="00C9549B"/>
    <w:rsid w:val="00CA1F30"/>
    <w:rsid w:val="00CA3BF9"/>
    <w:rsid w:val="00CB1263"/>
    <w:rsid w:val="00CB4850"/>
    <w:rsid w:val="00CD33FE"/>
    <w:rsid w:val="00D047FE"/>
    <w:rsid w:val="00D05CEE"/>
    <w:rsid w:val="00D066CD"/>
    <w:rsid w:val="00D104BB"/>
    <w:rsid w:val="00D27EF0"/>
    <w:rsid w:val="00D322D6"/>
    <w:rsid w:val="00D359BA"/>
    <w:rsid w:val="00D376A7"/>
    <w:rsid w:val="00D4613F"/>
    <w:rsid w:val="00D46D01"/>
    <w:rsid w:val="00D62110"/>
    <w:rsid w:val="00D6369F"/>
    <w:rsid w:val="00D85CF2"/>
    <w:rsid w:val="00DC256F"/>
    <w:rsid w:val="00DD480C"/>
    <w:rsid w:val="00DE6F6F"/>
    <w:rsid w:val="00DF700D"/>
    <w:rsid w:val="00E02103"/>
    <w:rsid w:val="00E435AA"/>
    <w:rsid w:val="00E67736"/>
    <w:rsid w:val="00E73AA7"/>
    <w:rsid w:val="00E86AAE"/>
    <w:rsid w:val="00E901B9"/>
    <w:rsid w:val="00E91847"/>
    <w:rsid w:val="00EA1FC8"/>
    <w:rsid w:val="00EB28AD"/>
    <w:rsid w:val="00ED139A"/>
    <w:rsid w:val="00EE0B7C"/>
    <w:rsid w:val="00EF642C"/>
    <w:rsid w:val="00F13E39"/>
    <w:rsid w:val="00F4155A"/>
    <w:rsid w:val="00F454CC"/>
    <w:rsid w:val="00F476E9"/>
    <w:rsid w:val="00F47FC5"/>
    <w:rsid w:val="00F76C19"/>
    <w:rsid w:val="00F81CC3"/>
    <w:rsid w:val="00FA3CFC"/>
    <w:rsid w:val="00FB6AE9"/>
    <w:rsid w:val="00FC1A3C"/>
    <w:rsid w:val="00FE0721"/>
    <w:rsid w:val="00FE6694"/>
    <w:rsid w:val="00FE76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customStyle="1" w:styleId="ColorfulList-Accent11">
    <w:name w:val="Colorful List - Accent 11"/>
    <w:basedOn w:val="Normal"/>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styleId="FollowedHyperlink">
    <w:name w:val="FollowedHyperlink"/>
    <w:uiPriority w:val="99"/>
    <w:semiHidden/>
    <w:unhideWhenUsed/>
    <w:rsid w:val="009C1639"/>
    <w:rPr>
      <w:color w:val="800080"/>
      <w:u w:val="single"/>
    </w:rPr>
  </w:style>
</w:styles>
</file>

<file path=word/webSettings.xml><?xml version="1.0" encoding="utf-8"?>
<w:webSettings xmlns:r="http://schemas.openxmlformats.org/officeDocument/2006/relationships" xmlns:w="http://schemas.openxmlformats.org/wordprocessingml/2006/main">
  <w:divs>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64542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het.gov.za/SitePages/OrgUniversities.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4282</CharactersWithSpaces>
  <SharedDoc>false</SharedDoc>
  <HLinks>
    <vt:vector size="6" baseType="variant">
      <vt:variant>
        <vt:i4>4653083</vt:i4>
      </vt:variant>
      <vt:variant>
        <vt:i4>0</vt:i4>
      </vt:variant>
      <vt:variant>
        <vt:i4>0</vt:i4>
      </vt:variant>
      <vt:variant>
        <vt:i4>5</vt:i4>
      </vt:variant>
      <vt:variant>
        <vt:lpwstr>http://www.dhet.gov.za/SitePages/OrgUniversities.aspx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2010-05-24T07:57:00Z</cp:lastPrinted>
  <dcterms:created xsi:type="dcterms:W3CDTF">2015-11-25T09:45:00Z</dcterms:created>
  <dcterms:modified xsi:type="dcterms:W3CDTF">2015-11-25T09:45:00Z</dcterms:modified>
</cp:coreProperties>
</file>