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6D13C6">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356741">
        <w:rPr>
          <w:rFonts w:ascii="Arial" w:hAnsi="Arial" w:cs="Arial"/>
          <w:b/>
          <w:bCs/>
        </w:rPr>
        <w:t>3</w:t>
      </w:r>
      <w:r w:rsidR="00082F98">
        <w:rPr>
          <w:rFonts w:ascii="Arial" w:hAnsi="Arial" w:cs="Arial"/>
          <w:b/>
          <w:bCs/>
        </w:rPr>
        <w:t>8</w:t>
      </w:r>
      <w:r w:rsidR="000554F0">
        <w:rPr>
          <w:rFonts w:ascii="Arial" w:hAnsi="Arial" w:cs="Arial"/>
          <w:b/>
          <w:bCs/>
        </w:rPr>
        <w:t>20</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057F75">
        <w:rPr>
          <w:rFonts w:ascii="Arial" w:hAnsi="Arial" w:cs="Arial"/>
          <w:b/>
          <w:bCs/>
          <w:u w:val="single"/>
        </w:rPr>
        <w:t>23</w:t>
      </w:r>
      <w:r w:rsidR="00E103E5">
        <w:rPr>
          <w:rFonts w:ascii="Arial" w:hAnsi="Arial" w:cs="Arial"/>
          <w:b/>
          <w:bCs/>
          <w:u w:val="single"/>
        </w:rPr>
        <w:t>/</w:t>
      </w:r>
      <w:r w:rsidR="00AA4CD8">
        <w:rPr>
          <w:rFonts w:ascii="Arial" w:hAnsi="Arial" w:cs="Arial"/>
          <w:b/>
          <w:bCs/>
          <w:u w:val="single"/>
        </w:rPr>
        <w:t>10</w:t>
      </w:r>
      <w:r w:rsidR="00C811DC">
        <w:rPr>
          <w:rFonts w:ascii="Arial" w:hAnsi="Arial" w:cs="Arial"/>
          <w:b/>
          <w:bCs/>
          <w:u w:val="single"/>
        </w:rPr>
        <w:t>/2015</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AA4CD8">
        <w:rPr>
          <w:rFonts w:ascii="Arial" w:hAnsi="Arial" w:cs="Arial"/>
          <w:b/>
          <w:bCs/>
          <w:u w:val="single"/>
        </w:rPr>
        <w:t>4</w:t>
      </w:r>
      <w:r w:rsidR="00057F75">
        <w:rPr>
          <w:rFonts w:ascii="Arial" w:hAnsi="Arial" w:cs="Arial"/>
          <w:b/>
          <w:bCs/>
          <w:u w:val="single"/>
        </w:rPr>
        <w:t>2</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847506" w:rsidRPr="00847506" w:rsidRDefault="00847506" w:rsidP="00847506">
      <w:pPr>
        <w:spacing w:before="120" w:after="120" w:line="360" w:lineRule="auto"/>
        <w:ind w:left="709" w:hanging="709"/>
        <w:jc w:val="both"/>
        <w:rPr>
          <w:rFonts w:ascii="Arial" w:hAnsi="Arial" w:cs="Arial"/>
          <w:b/>
          <w:lang w:val="en-ZA"/>
        </w:rPr>
      </w:pPr>
      <w:r w:rsidRPr="00847506">
        <w:rPr>
          <w:rFonts w:ascii="Arial" w:hAnsi="Arial" w:cs="Arial"/>
          <w:b/>
          <w:lang w:val="en-ZA"/>
        </w:rPr>
        <w:t>Mr Y Cassim (DA) to ask the Minister of Higher Education and Training:</w:t>
      </w:r>
    </w:p>
    <w:p w:rsidR="00E95DDE" w:rsidRDefault="00E95DDE" w:rsidP="000554F0">
      <w:pPr>
        <w:pStyle w:val="p0"/>
        <w:numPr>
          <w:ilvl w:val="0"/>
          <w:numId w:val="1"/>
        </w:numPr>
        <w:spacing w:before="120" w:after="120" w:line="276" w:lineRule="auto"/>
        <w:jc w:val="both"/>
        <w:rPr>
          <w:rFonts w:ascii="Arial" w:hAnsi="Arial" w:cs="Arial"/>
          <w:sz w:val="22"/>
          <w:szCs w:val="22"/>
        </w:rPr>
      </w:pPr>
      <w:r w:rsidRPr="00E95DDE">
        <w:rPr>
          <w:rFonts w:ascii="Arial" w:hAnsi="Arial" w:cs="Arial"/>
          <w:sz w:val="22"/>
          <w:szCs w:val="22"/>
        </w:rPr>
        <w:t>With reference to the Safety and Security Sector Education and Training Authority (SASSETA), (a) how many procurement contracts were concluded despite the SASSETA failing to request the necessary three quotations, (b) what was the value of each specified contract, (c) to which company and/or individual was each specified contract awarded and (d) which services were procured in respect of each specified contract;</w:t>
      </w:r>
    </w:p>
    <w:p w:rsidR="00E95DDE" w:rsidRDefault="00E95DDE" w:rsidP="000554F0">
      <w:pPr>
        <w:pStyle w:val="p0"/>
        <w:numPr>
          <w:ilvl w:val="0"/>
          <w:numId w:val="1"/>
        </w:numPr>
        <w:spacing w:before="120" w:after="120" w:line="276" w:lineRule="auto"/>
        <w:jc w:val="both"/>
        <w:rPr>
          <w:rFonts w:ascii="Arial" w:hAnsi="Arial" w:cs="Arial"/>
          <w:sz w:val="22"/>
          <w:szCs w:val="22"/>
        </w:rPr>
      </w:pPr>
      <w:r w:rsidRPr="00E95DDE">
        <w:rPr>
          <w:rFonts w:ascii="Arial" w:hAnsi="Arial" w:cs="Arial"/>
          <w:sz w:val="22"/>
          <w:szCs w:val="22"/>
        </w:rPr>
        <w:t>has any (a) corrective action and/or (b) disciplinary action been taken in respect of the specified procurement irregularities; if not, why not; if so, what are the relevant details in respect of each of the specified procurement irregularities;</w:t>
      </w:r>
    </w:p>
    <w:p w:rsidR="009A6C99" w:rsidRPr="009A6C99" w:rsidRDefault="00E95DDE" w:rsidP="009A6C99">
      <w:pPr>
        <w:pStyle w:val="p0"/>
        <w:numPr>
          <w:ilvl w:val="0"/>
          <w:numId w:val="1"/>
        </w:numPr>
        <w:spacing w:before="120" w:after="120" w:line="276" w:lineRule="auto"/>
        <w:jc w:val="both"/>
        <w:rPr>
          <w:rFonts w:ascii="Arial" w:hAnsi="Arial" w:cs="Arial"/>
          <w:sz w:val="22"/>
          <w:szCs w:val="22"/>
        </w:rPr>
      </w:pPr>
      <w:r w:rsidRPr="009A6C99">
        <w:rPr>
          <w:rFonts w:ascii="Arial" w:hAnsi="Arial" w:cs="Arial"/>
          <w:sz w:val="22"/>
          <w:szCs w:val="22"/>
        </w:rPr>
        <w:t>with reference to the Local Government Sector Education and Training Authority (LGSETA), (a) how many procurement contracts were concluded despite the LGSETA failing to request the necessary three quotations, (b) what was the value of each specified contract, (c) to which company and/or individual was each specified contract awarded and (d) which services were procured in respect of each specified contract;</w:t>
      </w:r>
    </w:p>
    <w:p w:rsidR="00E95DDE" w:rsidRDefault="00E95DDE" w:rsidP="000554F0">
      <w:pPr>
        <w:pStyle w:val="p0"/>
        <w:numPr>
          <w:ilvl w:val="0"/>
          <w:numId w:val="1"/>
        </w:numPr>
        <w:spacing w:before="120" w:after="120" w:line="276" w:lineRule="auto"/>
        <w:jc w:val="both"/>
        <w:rPr>
          <w:rFonts w:ascii="Arial" w:hAnsi="Arial" w:cs="Arial"/>
          <w:sz w:val="22"/>
          <w:szCs w:val="22"/>
        </w:rPr>
      </w:pPr>
      <w:proofErr w:type="gramStart"/>
      <w:r w:rsidRPr="00E95DDE">
        <w:rPr>
          <w:rFonts w:ascii="Arial" w:hAnsi="Arial" w:cs="Arial"/>
          <w:sz w:val="22"/>
          <w:szCs w:val="22"/>
        </w:rPr>
        <w:t>has</w:t>
      </w:r>
      <w:proofErr w:type="gramEnd"/>
      <w:r w:rsidRPr="00E95DDE">
        <w:rPr>
          <w:rFonts w:ascii="Arial" w:hAnsi="Arial" w:cs="Arial"/>
          <w:sz w:val="22"/>
          <w:szCs w:val="22"/>
        </w:rPr>
        <w:t xml:space="preserve"> any (a) corrective action and/or (b) disciplinary action been taken in respect of the specified procurement irregularities; if not, why not; if so, what are the relevant details in respect of each of the specified procurement appointment irregularities?</w:t>
      </w:r>
    </w:p>
    <w:p w:rsidR="00E95DDE" w:rsidRPr="00E95DDE" w:rsidRDefault="00E95DDE" w:rsidP="00E95DDE">
      <w:pPr>
        <w:pStyle w:val="p0"/>
        <w:spacing w:before="120" w:after="120" w:line="276" w:lineRule="auto"/>
        <w:ind w:left="357"/>
        <w:jc w:val="right"/>
        <w:rPr>
          <w:rFonts w:ascii="Arial" w:hAnsi="Arial" w:cs="Arial"/>
          <w:b/>
          <w:sz w:val="22"/>
          <w:szCs w:val="22"/>
        </w:rPr>
      </w:pPr>
      <w:r w:rsidRPr="00E95DDE">
        <w:rPr>
          <w:rFonts w:ascii="Arial" w:hAnsi="Arial" w:cs="Arial"/>
          <w:b/>
          <w:sz w:val="22"/>
          <w:szCs w:val="22"/>
        </w:rPr>
        <w:t>NW4565E</w:t>
      </w:r>
    </w:p>
    <w:p w:rsidR="00C3677B" w:rsidRPr="009A6C99" w:rsidRDefault="00A734D6" w:rsidP="005519DC">
      <w:pPr>
        <w:spacing w:before="100" w:beforeAutospacing="1" w:after="100" w:afterAutospacing="1" w:line="360" w:lineRule="auto"/>
        <w:contextualSpacing/>
        <w:rPr>
          <w:rFonts w:ascii="Arial" w:hAnsi="Arial" w:cs="Arial"/>
          <w:b/>
          <w:sz w:val="24"/>
          <w:szCs w:val="24"/>
        </w:rPr>
      </w:pPr>
      <w:r>
        <w:rPr>
          <w:rFonts w:ascii="Arial" w:hAnsi="Arial" w:cs="Arial"/>
          <w:b/>
        </w:rPr>
        <w:br w:type="page"/>
      </w:r>
      <w:r w:rsidR="00B12389" w:rsidRPr="009A6C99">
        <w:rPr>
          <w:rFonts w:ascii="Arial" w:hAnsi="Arial" w:cs="Arial"/>
          <w:b/>
          <w:sz w:val="24"/>
          <w:szCs w:val="24"/>
        </w:rPr>
        <w:lastRenderedPageBreak/>
        <w:t>R</w:t>
      </w:r>
      <w:r w:rsidR="00FC1A3C" w:rsidRPr="009A6C99">
        <w:rPr>
          <w:rFonts w:ascii="Arial" w:hAnsi="Arial" w:cs="Arial"/>
          <w:b/>
          <w:sz w:val="24"/>
          <w:szCs w:val="24"/>
        </w:rPr>
        <w:t>EPLY:</w:t>
      </w:r>
    </w:p>
    <w:p w:rsidR="00E103E5" w:rsidRPr="009A6C99" w:rsidRDefault="00E103E5" w:rsidP="00C5785E">
      <w:pPr>
        <w:spacing w:after="0" w:line="360" w:lineRule="auto"/>
        <w:rPr>
          <w:rFonts w:ascii="Arial" w:hAnsi="Arial" w:cs="Arial"/>
          <w:sz w:val="24"/>
          <w:szCs w:val="24"/>
        </w:rPr>
      </w:pPr>
    </w:p>
    <w:p w:rsidR="00AC5238" w:rsidRDefault="009E0EB7" w:rsidP="009E0EB7">
      <w:pPr>
        <w:pStyle w:val="ListParagraph"/>
        <w:numPr>
          <w:ilvl w:val="0"/>
          <w:numId w:val="7"/>
        </w:numPr>
        <w:spacing w:line="360" w:lineRule="auto"/>
        <w:jc w:val="both"/>
        <w:rPr>
          <w:rFonts w:ascii="Arial" w:eastAsia="Times New Roman" w:hAnsi="Arial" w:cs="Arial"/>
          <w:lang w:val="en-US"/>
        </w:rPr>
      </w:pPr>
      <w:r w:rsidRPr="00BB3E0B">
        <w:rPr>
          <w:rFonts w:ascii="Arial" w:eastAsia="Times New Roman" w:hAnsi="Arial" w:cs="Arial"/>
          <w:lang w:val="en-US"/>
        </w:rPr>
        <w:t xml:space="preserve">(a) The </w:t>
      </w:r>
      <w:r w:rsidR="00AC5238">
        <w:rPr>
          <w:rFonts w:ascii="Arial" w:eastAsia="Times New Roman" w:hAnsi="Arial" w:cs="Arial"/>
          <w:lang w:val="en-US"/>
        </w:rPr>
        <w:t xml:space="preserve">information we got indicates that the </w:t>
      </w:r>
      <w:r w:rsidRPr="003021DF">
        <w:rPr>
          <w:rFonts w:ascii="Arial" w:eastAsia="Times New Roman" w:hAnsi="Arial" w:cs="Arial"/>
          <w:lang w:val="en-US"/>
        </w:rPr>
        <w:t xml:space="preserve">Safety and Security </w:t>
      </w:r>
      <w:r w:rsidRPr="007C6EC3">
        <w:rPr>
          <w:rFonts w:ascii="Arial" w:eastAsia="Times New Roman" w:hAnsi="Arial" w:cs="Arial"/>
          <w:lang w:val="en-US"/>
        </w:rPr>
        <w:t xml:space="preserve">Sector Education and </w:t>
      </w:r>
    </w:p>
    <w:p w:rsidR="00AC5238" w:rsidRDefault="009E0EB7" w:rsidP="00AC5238">
      <w:pPr>
        <w:pStyle w:val="ListParagraph"/>
        <w:spacing w:line="360" w:lineRule="auto"/>
        <w:ind w:left="360" w:firstLine="360"/>
        <w:jc w:val="both"/>
        <w:rPr>
          <w:rFonts w:ascii="Arial" w:eastAsia="Times New Roman" w:hAnsi="Arial" w:cs="Arial"/>
          <w:lang w:val="en-US"/>
        </w:rPr>
      </w:pPr>
      <w:r w:rsidRPr="007C6EC3">
        <w:rPr>
          <w:rFonts w:ascii="Arial" w:eastAsia="Times New Roman" w:hAnsi="Arial" w:cs="Arial"/>
          <w:lang w:val="en-US"/>
        </w:rPr>
        <w:t xml:space="preserve">Training Authority (SASSETA) concluded five contracts without obtaining three </w:t>
      </w:r>
    </w:p>
    <w:p w:rsidR="009E0EB7" w:rsidRPr="007C6EC3" w:rsidRDefault="009E0EB7" w:rsidP="00AC5238">
      <w:pPr>
        <w:pStyle w:val="ListParagraph"/>
        <w:spacing w:line="360" w:lineRule="auto"/>
        <w:ind w:left="360" w:firstLine="360"/>
        <w:jc w:val="both"/>
        <w:rPr>
          <w:rFonts w:ascii="Arial" w:eastAsia="Times New Roman" w:hAnsi="Arial" w:cs="Arial"/>
          <w:lang w:val="en-US"/>
        </w:rPr>
      </w:pPr>
      <w:proofErr w:type="gramStart"/>
      <w:r w:rsidRPr="007C6EC3">
        <w:rPr>
          <w:rFonts w:ascii="Arial" w:eastAsia="Times New Roman" w:hAnsi="Arial" w:cs="Arial"/>
          <w:lang w:val="en-US"/>
        </w:rPr>
        <w:t>quotations</w:t>
      </w:r>
      <w:proofErr w:type="gramEnd"/>
      <w:r w:rsidRPr="007C6EC3">
        <w:rPr>
          <w:rFonts w:ascii="Arial" w:eastAsia="Times New Roman" w:hAnsi="Arial" w:cs="Arial"/>
          <w:lang w:val="en-US"/>
        </w:rPr>
        <w:t xml:space="preserve">. </w:t>
      </w:r>
    </w:p>
    <w:p w:rsidR="009E0EB7" w:rsidRPr="00BB3E0B" w:rsidRDefault="009E0EB7" w:rsidP="006D495F">
      <w:pPr>
        <w:pStyle w:val="ListParagraph"/>
        <w:spacing w:line="360" w:lineRule="auto"/>
        <w:ind w:left="709" w:hanging="349"/>
        <w:jc w:val="both"/>
        <w:rPr>
          <w:rFonts w:ascii="Arial" w:eastAsia="Times New Roman" w:hAnsi="Arial" w:cs="Arial"/>
          <w:lang w:val="en-US"/>
        </w:rPr>
      </w:pPr>
      <w:r w:rsidRPr="00BB3E0B">
        <w:rPr>
          <w:rFonts w:ascii="Arial" w:eastAsia="Times New Roman" w:hAnsi="Arial" w:cs="Arial"/>
          <w:lang w:val="en-US"/>
        </w:rPr>
        <w:t>(b)</w:t>
      </w:r>
      <w:r w:rsidR="00DD033A">
        <w:rPr>
          <w:rFonts w:ascii="Arial" w:eastAsia="Times New Roman" w:hAnsi="Arial" w:cs="Arial"/>
          <w:lang w:val="en-US"/>
        </w:rPr>
        <w:t>, (</w:t>
      </w:r>
      <w:r>
        <w:rPr>
          <w:rFonts w:ascii="Arial" w:eastAsia="Times New Roman" w:hAnsi="Arial" w:cs="Arial"/>
          <w:lang w:val="en-US"/>
        </w:rPr>
        <w:t xml:space="preserve">c) and (d) </w:t>
      </w:r>
      <w:proofErr w:type="gramStart"/>
      <w:r w:rsidRPr="00BB3E0B">
        <w:rPr>
          <w:rFonts w:ascii="Arial" w:eastAsia="Times New Roman" w:hAnsi="Arial" w:cs="Arial"/>
          <w:lang w:val="en-US"/>
        </w:rPr>
        <w:t>The</w:t>
      </w:r>
      <w:proofErr w:type="gramEnd"/>
      <w:r w:rsidRPr="00BB3E0B">
        <w:rPr>
          <w:rFonts w:ascii="Arial" w:eastAsia="Times New Roman" w:hAnsi="Arial" w:cs="Arial"/>
          <w:lang w:val="en-US"/>
        </w:rPr>
        <w:t xml:space="preserve"> table below</w:t>
      </w:r>
      <w:r>
        <w:rPr>
          <w:rFonts w:ascii="Arial" w:eastAsia="Times New Roman" w:hAnsi="Arial" w:cs="Arial"/>
          <w:lang w:val="en-US"/>
        </w:rPr>
        <w:t xml:space="preserve"> gives details of the names of the awarded companies, services procured and </w:t>
      </w:r>
      <w:r w:rsidRPr="00BB3E0B">
        <w:rPr>
          <w:rFonts w:ascii="Arial" w:eastAsia="Times New Roman" w:hAnsi="Arial" w:cs="Arial"/>
          <w:lang w:val="en-US"/>
        </w:rPr>
        <w:t xml:space="preserve">value of </w:t>
      </w:r>
      <w:r>
        <w:rPr>
          <w:rFonts w:ascii="Arial" w:eastAsia="Times New Roman" w:hAnsi="Arial" w:cs="Arial"/>
          <w:lang w:val="en-US"/>
        </w:rPr>
        <w:t>each contract</w:t>
      </w:r>
      <w:r w:rsidRPr="00BB3E0B">
        <w:rPr>
          <w:rFonts w:ascii="Arial" w:eastAsia="Times New Roman" w:hAnsi="Arial" w:cs="Arial"/>
          <w:lang w:val="en-US"/>
        </w:rPr>
        <w:t>:</w:t>
      </w:r>
    </w:p>
    <w:tbl>
      <w:tblPr>
        <w:tblW w:w="9072" w:type="dxa"/>
        <w:tblInd w:w="250" w:type="dxa"/>
        <w:tblLook w:val="04A0"/>
      </w:tblPr>
      <w:tblGrid>
        <w:gridCol w:w="2977"/>
        <w:gridCol w:w="3260"/>
        <w:gridCol w:w="2835"/>
      </w:tblGrid>
      <w:tr w:rsidR="009E0EB7" w:rsidRPr="00BB3E0B" w:rsidTr="00B86C98">
        <w:trPr>
          <w:trHeight w:val="239"/>
        </w:trPr>
        <w:tc>
          <w:tcPr>
            <w:tcW w:w="2977" w:type="dxa"/>
            <w:tcBorders>
              <w:top w:val="single" w:sz="8" w:space="0" w:color="auto"/>
              <w:left w:val="single" w:sz="4" w:space="0" w:color="auto"/>
              <w:bottom w:val="single" w:sz="4" w:space="0" w:color="auto"/>
              <w:right w:val="single" w:sz="4" w:space="0" w:color="auto"/>
            </w:tcBorders>
            <w:shd w:val="clear" w:color="auto" w:fill="BFBFBF"/>
            <w:vAlign w:val="center"/>
          </w:tcPr>
          <w:p w:rsidR="009E0EB7" w:rsidRDefault="009E0EB7" w:rsidP="00B86C98">
            <w:pPr>
              <w:spacing w:before="60" w:after="60" w:line="240" w:lineRule="auto"/>
              <w:jc w:val="center"/>
              <w:rPr>
                <w:rFonts w:ascii="Arial" w:hAnsi="Arial" w:cs="Arial"/>
                <w:b/>
              </w:rPr>
            </w:pPr>
            <w:r>
              <w:rPr>
                <w:rFonts w:ascii="Arial" w:hAnsi="Arial" w:cs="Arial"/>
                <w:b/>
              </w:rPr>
              <w:t>Awarded Company</w:t>
            </w:r>
          </w:p>
        </w:tc>
        <w:tc>
          <w:tcPr>
            <w:tcW w:w="3260" w:type="dxa"/>
            <w:tcBorders>
              <w:top w:val="single" w:sz="8" w:space="0" w:color="auto"/>
              <w:left w:val="single" w:sz="4" w:space="0" w:color="auto"/>
              <w:bottom w:val="single" w:sz="4" w:space="0" w:color="auto"/>
              <w:right w:val="single" w:sz="4" w:space="0" w:color="auto"/>
            </w:tcBorders>
            <w:shd w:val="clear" w:color="auto" w:fill="BFBFBF"/>
            <w:vAlign w:val="center"/>
          </w:tcPr>
          <w:p w:rsidR="009E0EB7" w:rsidRPr="00BB3E0B" w:rsidRDefault="009E0EB7" w:rsidP="00B86C98">
            <w:pPr>
              <w:spacing w:before="60" w:after="60" w:line="240" w:lineRule="auto"/>
              <w:jc w:val="center"/>
              <w:rPr>
                <w:rFonts w:ascii="Arial" w:hAnsi="Arial" w:cs="Arial"/>
                <w:b/>
              </w:rPr>
            </w:pPr>
            <w:r>
              <w:rPr>
                <w:rFonts w:ascii="Arial" w:hAnsi="Arial" w:cs="Arial"/>
                <w:b/>
              </w:rPr>
              <w:t>Services</w:t>
            </w:r>
          </w:p>
        </w:tc>
        <w:tc>
          <w:tcPr>
            <w:tcW w:w="2835" w:type="dxa"/>
            <w:tcBorders>
              <w:top w:val="single" w:sz="8" w:space="0" w:color="auto"/>
              <w:left w:val="nil"/>
              <w:bottom w:val="single" w:sz="4" w:space="0" w:color="auto"/>
              <w:right w:val="single" w:sz="4" w:space="0" w:color="auto"/>
            </w:tcBorders>
            <w:shd w:val="clear" w:color="auto" w:fill="BFBFBF"/>
            <w:noWrap/>
            <w:vAlign w:val="center"/>
          </w:tcPr>
          <w:p w:rsidR="009E0EB7" w:rsidRPr="00BB3E0B" w:rsidRDefault="009E0EB7" w:rsidP="00B86C98">
            <w:pPr>
              <w:spacing w:before="60" w:after="60" w:line="240" w:lineRule="auto"/>
              <w:jc w:val="center"/>
              <w:rPr>
                <w:rFonts w:ascii="Arial" w:hAnsi="Arial" w:cs="Arial"/>
                <w:b/>
              </w:rPr>
            </w:pPr>
            <w:r>
              <w:rPr>
                <w:rFonts w:ascii="Arial" w:hAnsi="Arial" w:cs="Arial"/>
                <w:b/>
              </w:rPr>
              <w:t>Value/</w:t>
            </w:r>
            <w:r w:rsidRPr="00BB3E0B">
              <w:rPr>
                <w:rFonts w:ascii="Arial" w:hAnsi="Arial" w:cs="Arial"/>
                <w:b/>
              </w:rPr>
              <w:t>Amount</w:t>
            </w:r>
          </w:p>
        </w:tc>
      </w:tr>
      <w:tr w:rsidR="009E0EB7" w:rsidRPr="00BB3E0B" w:rsidTr="00A9694B">
        <w:trPr>
          <w:trHeight w:val="521"/>
        </w:trPr>
        <w:tc>
          <w:tcPr>
            <w:tcW w:w="2977" w:type="dxa"/>
            <w:tcBorders>
              <w:top w:val="single" w:sz="4" w:space="0" w:color="auto"/>
              <w:left w:val="single" w:sz="4" w:space="0" w:color="auto"/>
              <w:bottom w:val="single" w:sz="4" w:space="0" w:color="auto"/>
              <w:right w:val="single" w:sz="4" w:space="0" w:color="auto"/>
            </w:tcBorders>
          </w:tcPr>
          <w:p w:rsidR="009E0EB7" w:rsidRPr="00BB3E0B" w:rsidRDefault="009E0EB7" w:rsidP="00A9694B">
            <w:pPr>
              <w:numPr>
                <w:ilvl w:val="0"/>
                <w:numId w:val="9"/>
              </w:numPr>
              <w:spacing w:before="60" w:after="60" w:line="240" w:lineRule="auto"/>
              <w:rPr>
                <w:rFonts w:ascii="Arial" w:eastAsia="Times New Roman" w:hAnsi="Arial" w:cs="Arial"/>
                <w:lang w:val="en-US"/>
              </w:rPr>
            </w:pPr>
            <w:r w:rsidRPr="00BB3E0B">
              <w:rPr>
                <w:rFonts w:ascii="Arial" w:eastAsia="Times New Roman" w:hAnsi="Arial" w:cs="Arial"/>
                <w:lang w:val="en-US"/>
              </w:rPr>
              <w:t>Mabuya Auditors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EB7" w:rsidRPr="00BB3E0B" w:rsidRDefault="009E0EB7" w:rsidP="00A9694B">
            <w:pPr>
              <w:spacing w:before="60" w:after="60" w:line="240" w:lineRule="auto"/>
              <w:rPr>
                <w:rFonts w:ascii="Arial" w:eastAsia="Times New Roman" w:hAnsi="Arial" w:cs="Arial"/>
                <w:lang w:val="en-US"/>
              </w:rPr>
            </w:pPr>
            <w:r w:rsidRPr="00BB3E0B">
              <w:rPr>
                <w:rFonts w:ascii="Arial" w:eastAsia="Times New Roman" w:hAnsi="Arial" w:cs="Arial"/>
                <w:lang w:val="en-US"/>
              </w:rPr>
              <w:t>Witnessing in a disciplinary case</w:t>
            </w:r>
          </w:p>
        </w:tc>
        <w:tc>
          <w:tcPr>
            <w:tcW w:w="2835" w:type="dxa"/>
            <w:tcBorders>
              <w:top w:val="nil"/>
              <w:left w:val="nil"/>
              <w:bottom w:val="single" w:sz="4" w:space="0" w:color="auto"/>
              <w:right w:val="single" w:sz="4" w:space="0" w:color="auto"/>
            </w:tcBorders>
            <w:shd w:val="clear" w:color="auto" w:fill="auto"/>
            <w:noWrap/>
            <w:hideMark/>
          </w:tcPr>
          <w:p w:rsidR="009E0EB7" w:rsidRPr="00BB3E0B" w:rsidRDefault="009E0EB7" w:rsidP="00A9694B">
            <w:pPr>
              <w:spacing w:before="60" w:after="60" w:line="240" w:lineRule="auto"/>
              <w:jc w:val="right"/>
              <w:rPr>
                <w:rFonts w:ascii="Arial" w:eastAsia="Times New Roman" w:hAnsi="Arial" w:cs="Arial"/>
                <w:lang w:val="en-US"/>
              </w:rPr>
            </w:pPr>
            <w:r>
              <w:rPr>
                <w:rFonts w:ascii="Arial" w:eastAsia="Times New Roman" w:hAnsi="Arial" w:cs="Arial"/>
                <w:lang w:val="en-US"/>
              </w:rPr>
              <w:t xml:space="preserve">R12 </w:t>
            </w:r>
            <w:r w:rsidRPr="00BB3E0B">
              <w:rPr>
                <w:rFonts w:ascii="Arial" w:eastAsia="Times New Roman" w:hAnsi="Arial" w:cs="Arial"/>
                <w:lang w:val="en-US"/>
              </w:rPr>
              <w:t>500.00</w:t>
            </w:r>
          </w:p>
        </w:tc>
      </w:tr>
      <w:tr w:rsidR="009E0EB7" w:rsidRPr="00BB3E0B" w:rsidTr="00A9694B">
        <w:trPr>
          <w:trHeight w:val="221"/>
        </w:trPr>
        <w:tc>
          <w:tcPr>
            <w:tcW w:w="2977" w:type="dxa"/>
            <w:tcBorders>
              <w:top w:val="single" w:sz="4" w:space="0" w:color="auto"/>
              <w:left w:val="single" w:sz="4" w:space="0" w:color="auto"/>
              <w:bottom w:val="single" w:sz="4" w:space="0" w:color="auto"/>
              <w:right w:val="single" w:sz="4" w:space="0" w:color="auto"/>
            </w:tcBorders>
          </w:tcPr>
          <w:p w:rsidR="009E0EB7" w:rsidRPr="00BB3E0B" w:rsidRDefault="009E0EB7" w:rsidP="00A9694B">
            <w:pPr>
              <w:numPr>
                <w:ilvl w:val="0"/>
                <w:numId w:val="9"/>
              </w:numPr>
              <w:spacing w:before="60" w:after="60" w:line="240" w:lineRule="auto"/>
              <w:rPr>
                <w:rFonts w:ascii="Arial" w:eastAsia="Times New Roman" w:hAnsi="Arial" w:cs="Arial"/>
                <w:lang w:val="en-US"/>
              </w:rPr>
            </w:pPr>
            <w:r w:rsidRPr="00BB3E0B">
              <w:rPr>
                <w:rFonts w:ascii="Arial" w:eastAsia="Times New Roman" w:hAnsi="Arial" w:cs="Arial"/>
                <w:lang w:val="en-US"/>
              </w:rPr>
              <w:t>Maweza</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EB7" w:rsidRPr="00BB3E0B" w:rsidRDefault="009E0EB7" w:rsidP="00A9694B">
            <w:pPr>
              <w:spacing w:before="60" w:after="60" w:line="240" w:lineRule="auto"/>
              <w:rPr>
                <w:rFonts w:ascii="Arial" w:eastAsia="Times New Roman" w:hAnsi="Arial" w:cs="Arial"/>
                <w:lang w:val="en-US"/>
              </w:rPr>
            </w:pPr>
            <w:r w:rsidRPr="00BB3E0B">
              <w:rPr>
                <w:rFonts w:ascii="Arial" w:eastAsia="Times New Roman" w:hAnsi="Arial" w:cs="Arial"/>
                <w:lang w:val="en-US"/>
              </w:rPr>
              <w:t>I</w:t>
            </w:r>
            <w:r>
              <w:rPr>
                <w:rFonts w:ascii="Arial" w:eastAsia="Times New Roman" w:hAnsi="Arial" w:cs="Arial"/>
                <w:lang w:val="en-US"/>
              </w:rPr>
              <w:t xml:space="preserve">nformation </w:t>
            </w:r>
            <w:r w:rsidRPr="00BB3E0B">
              <w:rPr>
                <w:rFonts w:ascii="Arial" w:eastAsia="Times New Roman" w:hAnsi="Arial" w:cs="Arial"/>
                <w:lang w:val="en-US"/>
              </w:rPr>
              <w:t>T</w:t>
            </w:r>
            <w:r>
              <w:rPr>
                <w:rFonts w:ascii="Arial" w:eastAsia="Times New Roman" w:hAnsi="Arial" w:cs="Arial"/>
                <w:lang w:val="en-US"/>
              </w:rPr>
              <w:t>echnology</w:t>
            </w:r>
            <w:r w:rsidRPr="00BB3E0B">
              <w:rPr>
                <w:rFonts w:ascii="Arial" w:eastAsia="Times New Roman" w:hAnsi="Arial" w:cs="Arial"/>
                <w:lang w:val="en-US"/>
              </w:rPr>
              <w:t xml:space="preserve"> services</w:t>
            </w:r>
          </w:p>
        </w:tc>
        <w:tc>
          <w:tcPr>
            <w:tcW w:w="2835" w:type="dxa"/>
            <w:tcBorders>
              <w:top w:val="nil"/>
              <w:left w:val="nil"/>
              <w:bottom w:val="single" w:sz="4" w:space="0" w:color="auto"/>
              <w:right w:val="single" w:sz="4" w:space="0" w:color="auto"/>
            </w:tcBorders>
            <w:shd w:val="clear" w:color="auto" w:fill="auto"/>
            <w:noWrap/>
            <w:hideMark/>
          </w:tcPr>
          <w:p w:rsidR="009E0EB7" w:rsidRPr="00BB3E0B" w:rsidRDefault="009E0EB7" w:rsidP="00A9694B">
            <w:pPr>
              <w:spacing w:before="60" w:after="60" w:line="240" w:lineRule="auto"/>
              <w:jc w:val="right"/>
              <w:rPr>
                <w:rFonts w:ascii="Arial" w:eastAsia="Times New Roman" w:hAnsi="Arial" w:cs="Arial"/>
                <w:lang w:val="en-US"/>
              </w:rPr>
            </w:pPr>
            <w:r>
              <w:rPr>
                <w:rFonts w:ascii="Arial" w:eastAsia="Times New Roman" w:hAnsi="Arial" w:cs="Arial"/>
                <w:lang w:val="en-US"/>
              </w:rPr>
              <w:t>R479 988.00</w:t>
            </w:r>
          </w:p>
        </w:tc>
      </w:tr>
      <w:tr w:rsidR="009E0EB7" w:rsidRPr="00BB3E0B" w:rsidTr="00A9694B">
        <w:trPr>
          <w:trHeight w:val="266"/>
        </w:trPr>
        <w:tc>
          <w:tcPr>
            <w:tcW w:w="2977" w:type="dxa"/>
            <w:tcBorders>
              <w:top w:val="single" w:sz="4" w:space="0" w:color="auto"/>
              <w:left w:val="single" w:sz="4" w:space="0" w:color="auto"/>
              <w:bottom w:val="single" w:sz="4" w:space="0" w:color="auto"/>
              <w:right w:val="single" w:sz="4" w:space="0" w:color="auto"/>
            </w:tcBorders>
          </w:tcPr>
          <w:p w:rsidR="009E0EB7" w:rsidRPr="00BB3E0B" w:rsidRDefault="009E0EB7" w:rsidP="00A9694B">
            <w:pPr>
              <w:numPr>
                <w:ilvl w:val="0"/>
                <w:numId w:val="9"/>
              </w:numPr>
              <w:spacing w:before="60" w:after="60" w:line="240" w:lineRule="auto"/>
              <w:rPr>
                <w:rFonts w:ascii="Arial" w:eastAsia="Times New Roman" w:hAnsi="Arial" w:cs="Arial"/>
                <w:lang w:val="en-US"/>
              </w:rPr>
            </w:pPr>
            <w:r w:rsidRPr="00BB3E0B">
              <w:rPr>
                <w:rFonts w:ascii="Arial" w:eastAsia="Times New Roman" w:hAnsi="Arial" w:cs="Arial"/>
                <w:lang w:val="en-US"/>
              </w:rPr>
              <w:t>Wolf</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EB7" w:rsidRPr="00BB3E0B" w:rsidRDefault="009E0EB7" w:rsidP="00A9694B">
            <w:pPr>
              <w:spacing w:before="60" w:after="60" w:line="240" w:lineRule="auto"/>
              <w:rPr>
                <w:rFonts w:ascii="Arial" w:eastAsia="Times New Roman" w:hAnsi="Arial" w:cs="Arial"/>
                <w:lang w:val="en-US"/>
              </w:rPr>
            </w:pPr>
            <w:r w:rsidRPr="00BB3E0B">
              <w:rPr>
                <w:rFonts w:ascii="Arial" w:eastAsia="Times New Roman" w:hAnsi="Arial" w:cs="Arial"/>
                <w:lang w:val="en-US"/>
              </w:rPr>
              <w:t>Security</w:t>
            </w:r>
          </w:p>
        </w:tc>
        <w:tc>
          <w:tcPr>
            <w:tcW w:w="2835" w:type="dxa"/>
            <w:tcBorders>
              <w:top w:val="nil"/>
              <w:left w:val="nil"/>
              <w:bottom w:val="single" w:sz="4" w:space="0" w:color="auto"/>
              <w:right w:val="single" w:sz="4" w:space="0" w:color="auto"/>
            </w:tcBorders>
            <w:shd w:val="clear" w:color="auto" w:fill="auto"/>
            <w:noWrap/>
            <w:hideMark/>
          </w:tcPr>
          <w:p w:rsidR="009E0EB7" w:rsidRPr="00BB3E0B" w:rsidRDefault="009E0EB7" w:rsidP="00A9694B">
            <w:pPr>
              <w:spacing w:before="60" w:after="60" w:line="240" w:lineRule="auto"/>
              <w:jc w:val="right"/>
              <w:rPr>
                <w:rFonts w:ascii="Arial" w:eastAsia="Times New Roman" w:hAnsi="Arial" w:cs="Arial"/>
                <w:lang w:val="en-US"/>
              </w:rPr>
            </w:pPr>
            <w:r>
              <w:rPr>
                <w:rFonts w:ascii="Arial" w:eastAsia="Times New Roman" w:hAnsi="Arial" w:cs="Arial"/>
                <w:lang w:val="en-US"/>
              </w:rPr>
              <w:t>R250 000.00</w:t>
            </w:r>
          </w:p>
        </w:tc>
      </w:tr>
      <w:tr w:rsidR="009E0EB7" w:rsidRPr="00BB3E0B" w:rsidTr="00A9694B">
        <w:trPr>
          <w:trHeight w:val="255"/>
        </w:trPr>
        <w:tc>
          <w:tcPr>
            <w:tcW w:w="2977" w:type="dxa"/>
            <w:tcBorders>
              <w:top w:val="single" w:sz="4" w:space="0" w:color="auto"/>
              <w:left w:val="single" w:sz="4" w:space="0" w:color="auto"/>
              <w:bottom w:val="single" w:sz="4" w:space="0" w:color="auto"/>
              <w:right w:val="single" w:sz="4" w:space="0" w:color="auto"/>
            </w:tcBorders>
          </w:tcPr>
          <w:p w:rsidR="009E0EB7" w:rsidRPr="00BB3E0B" w:rsidRDefault="009E0EB7" w:rsidP="00A9694B">
            <w:pPr>
              <w:numPr>
                <w:ilvl w:val="0"/>
                <w:numId w:val="9"/>
              </w:numPr>
              <w:spacing w:before="60" w:after="60" w:line="240" w:lineRule="auto"/>
              <w:rPr>
                <w:rFonts w:ascii="Arial" w:eastAsia="Times New Roman" w:hAnsi="Arial" w:cs="Arial"/>
                <w:lang w:val="en-US"/>
              </w:rPr>
            </w:pPr>
            <w:r w:rsidRPr="00BB3E0B">
              <w:rPr>
                <w:rFonts w:ascii="Arial" w:eastAsia="Times New Roman" w:hAnsi="Arial" w:cs="Arial"/>
                <w:lang w:val="en-US"/>
              </w:rPr>
              <w:t>TRONCOP</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EB7" w:rsidRPr="00BB3E0B" w:rsidRDefault="009E0EB7" w:rsidP="00A9694B">
            <w:pPr>
              <w:spacing w:before="60" w:after="60" w:line="240" w:lineRule="auto"/>
              <w:rPr>
                <w:rFonts w:ascii="Arial" w:eastAsia="Times New Roman" w:hAnsi="Arial" w:cs="Arial"/>
                <w:lang w:val="en-US"/>
              </w:rPr>
            </w:pPr>
            <w:r w:rsidRPr="00BB3E0B">
              <w:rPr>
                <w:rFonts w:ascii="Arial" w:eastAsia="Times New Roman" w:hAnsi="Arial" w:cs="Arial"/>
                <w:lang w:val="en-US"/>
              </w:rPr>
              <w:t>Construction</w:t>
            </w:r>
          </w:p>
        </w:tc>
        <w:tc>
          <w:tcPr>
            <w:tcW w:w="2835" w:type="dxa"/>
            <w:tcBorders>
              <w:top w:val="nil"/>
              <w:left w:val="nil"/>
              <w:bottom w:val="single" w:sz="4" w:space="0" w:color="auto"/>
              <w:right w:val="single" w:sz="4" w:space="0" w:color="auto"/>
            </w:tcBorders>
            <w:shd w:val="clear" w:color="auto" w:fill="auto"/>
            <w:noWrap/>
            <w:hideMark/>
          </w:tcPr>
          <w:p w:rsidR="009E0EB7" w:rsidRPr="00BB3E0B" w:rsidRDefault="009E0EB7" w:rsidP="00A9694B">
            <w:pPr>
              <w:spacing w:before="60" w:after="60" w:line="240" w:lineRule="auto"/>
              <w:jc w:val="right"/>
              <w:rPr>
                <w:rFonts w:ascii="Arial" w:eastAsia="Times New Roman" w:hAnsi="Arial" w:cs="Arial"/>
                <w:lang w:val="en-US"/>
              </w:rPr>
            </w:pPr>
            <w:r>
              <w:rPr>
                <w:rFonts w:ascii="Arial" w:eastAsia="Times New Roman" w:hAnsi="Arial" w:cs="Arial"/>
                <w:lang w:val="en-US"/>
              </w:rPr>
              <w:t xml:space="preserve">R22 </w:t>
            </w:r>
            <w:r w:rsidRPr="00BB3E0B">
              <w:rPr>
                <w:rFonts w:ascii="Arial" w:eastAsia="Times New Roman" w:hAnsi="Arial" w:cs="Arial"/>
                <w:lang w:val="en-US"/>
              </w:rPr>
              <w:t>1</w:t>
            </w:r>
            <w:r>
              <w:rPr>
                <w:rFonts w:ascii="Arial" w:eastAsia="Times New Roman" w:hAnsi="Arial" w:cs="Arial"/>
                <w:lang w:val="en-US"/>
              </w:rPr>
              <w:t>75.28</w:t>
            </w:r>
          </w:p>
        </w:tc>
      </w:tr>
      <w:tr w:rsidR="009E0EB7" w:rsidRPr="00BB3E0B" w:rsidTr="00A9694B">
        <w:trPr>
          <w:trHeight w:val="255"/>
        </w:trPr>
        <w:tc>
          <w:tcPr>
            <w:tcW w:w="2977" w:type="dxa"/>
            <w:tcBorders>
              <w:top w:val="single" w:sz="4" w:space="0" w:color="auto"/>
              <w:left w:val="single" w:sz="4" w:space="0" w:color="auto"/>
              <w:bottom w:val="single" w:sz="4" w:space="0" w:color="auto"/>
              <w:right w:val="single" w:sz="4" w:space="0" w:color="auto"/>
            </w:tcBorders>
          </w:tcPr>
          <w:p w:rsidR="009E0EB7" w:rsidRPr="00BB3E0B" w:rsidRDefault="009E0EB7" w:rsidP="00A9694B">
            <w:pPr>
              <w:numPr>
                <w:ilvl w:val="0"/>
                <w:numId w:val="9"/>
              </w:numPr>
              <w:spacing w:before="60" w:after="60" w:line="240" w:lineRule="auto"/>
              <w:rPr>
                <w:rFonts w:ascii="Arial" w:eastAsia="Times New Roman" w:hAnsi="Arial" w:cs="Arial"/>
                <w:lang w:val="en-US"/>
              </w:rPr>
            </w:pPr>
            <w:r w:rsidRPr="00BB3E0B">
              <w:rPr>
                <w:rFonts w:ascii="Arial" w:eastAsia="Times New Roman" w:hAnsi="Arial" w:cs="Arial"/>
                <w:lang w:val="en-US"/>
              </w:rPr>
              <w:t xml:space="preserve">Bokhabane </w:t>
            </w:r>
            <w:r>
              <w:rPr>
                <w:rFonts w:ascii="Arial" w:eastAsia="Times New Roman" w:hAnsi="Arial" w:cs="Arial"/>
                <w:lang w:val="en-US"/>
              </w:rPr>
              <w:t>E</w:t>
            </w:r>
            <w:r w:rsidRPr="00BB3E0B">
              <w:rPr>
                <w:rFonts w:ascii="Arial" w:eastAsia="Times New Roman" w:hAnsi="Arial" w:cs="Arial"/>
                <w:lang w:val="en-US"/>
              </w:rPr>
              <w:t xml:space="preserve">vent </w:t>
            </w:r>
            <w:r>
              <w:rPr>
                <w:rFonts w:ascii="Arial" w:eastAsia="Times New Roman" w:hAnsi="Arial" w:cs="Arial"/>
                <w:lang w:val="en-US"/>
              </w:rPr>
              <w:t>H</w:t>
            </w:r>
            <w:r w:rsidRPr="00BB3E0B">
              <w:rPr>
                <w:rFonts w:ascii="Arial" w:eastAsia="Times New Roman" w:hAnsi="Arial" w:cs="Arial"/>
                <w:lang w:val="en-US"/>
              </w:rPr>
              <w:t>ire</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0EB7" w:rsidRPr="00BB3E0B" w:rsidRDefault="009E0EB7" w:rsidP="00A9694B">
            <w:pPr>
              <w:spacing w:before="60" w:after="60" w:line="240" w:lineRule="auto"/>
              <w:rPr>
                <w:rFonts w:ascii="Arial" w:eastAsia="Times New Roman" w:hAnsi="Arial" w:cs="Arial"/>
                <w:lang w:val="en-US"/>
              </w:rPr>
            </w:pPr>
            <w:r>
              <w:rPr>
                <w:rFonts w:ascii="Arial" w:eastAsia="Times New Roman" w:hAnsi="Arial" w:cs="Arial"/>
                <w:lang w:val="en-US"/>
              </w:rPr>
              <w:t>Catering</w:t>
            </w:r>
          </w:p>
        </w:tc>
        <w:tc>
          <w:tcPr>
            <w:tcW w:w="2835" w:type="dxa"/>
            <w:tcBorders>
              <w:top w:val="nil"/>
              <w:left w:val="nil"/>
              <w:bottom w:val="single" w:sz="4" w:space="0" w:color="auto"/>
              <w:right w:val="single" w:sz="4" w:space="0" w:color="auto"/>
            </w:tcBorders>
            <w:shd w:val="clear" w:color="auto" w:fill="auto"/>
            <w:noWrap/>
            <w:hideMark/>
          </w:tcPr>
          <w:p w:rsidR="009E0EB7" w:rsidRPr="00BB3E0B" w:rsidRDefault="009E0EB7" w:rsidP="00A9694B">
            <w:pPr>
              <w:spacing w:before="60" w:after="60" w:line="240" w:lineRule="auto"/>
              <w:jc w:val="right"/>
              <w:rPr>
                <w:rFonts w:ascii="Arial" w:eastAsia="Times New Roman" w:hAnsi="Arial" w:cs="Arial"/>
                <w:lang w:val="en-US"/>
              </w:rPr>
            </w:pPr>
            <w:r>
              <w:rPr>
                <w:rFonts w:ascii="Arial" w:eastAsia="Times New Roman" w:hAnsi="Arial" w:cs="Arial"/>
                <w:lang w:val="en-US"/>
              </w:rPr>
              <w:t xml:space="preserve">R2 </w:t>
            </w:r>
            <w:r w:rsidRPr="00BB3E0B">
              <w:rPr>
                <w:rFonts w:ascii="Arial" w:eastAsia="Times New Roman" w:hAnsi="Arial" w:cs="Arial"/>
                <w:lang w:val="en-US"/>
              </w:rPr>
              <w:t>580.00</w:t>
            </w:r>
          </w:p>
        </w:tc>
      </w:tr>
    </w:tbl>
    <w:p w:rsidR="009E0EB7" w:rsidRPr="00BB3E0B" w:rsidRDefault="009E0EB7" w:rsidP="009E0EB7">
      <w:pPr>
        <w:pStyle w:val="ListParagraph"/>
        <w:rPr>
          <w:rFonts w:ascii="Arial" w:hAnsi="Arial" w:cs="Arial"/>
        </w:rPr>
      </w:pPr>
    </w:p>
    <w:p w:rsidR="009E0EB7" w:rsidRPr="00BB3E0B" w:rsidRDefault="009E0EB7" w:rsidP="009E0EB7">
      <w:pPr>
        <w:pStyle w:val="ListParagraph"/>
        <w:rPr>
          <w:rFonts w:ascii="Arial" w:hAnsi="Arial" w:cs="Arial"/>
        </w:rPr>
      </w:pPr>
    </w:p>
    <w:p w:rsidR="00C5065C" w:rsidRDefault="009E0EB7" w:rsidP="00C5065C">
      <w:pPr>
        <w:pStyle w:val="ListParagraph"/>
        <w:numPr>
          <w:ilvl w:val="0"/>
          <w:numId w:val="7"/>
        </w:numPr>
        <w:spacing w:line="360" w:lineRule="auto"/>
        <w:jc w:val="both"/>
        <w:rPr>
          <w:rFonts w:ascii="Arial" w:eastAsia="Times New Roman" w:hAnsi="Arial" w:cs="Arial"/>
          <w:lang w:val="en-US"/>
        </w:rPr>
      </w:pPr>
      <w:r>
        <w:rPr>
          <w:rFonts w:ascii="Arial" w:eastAsia="Times New Roman" w:hAnsi="Arial" w:cs="Arial"/>
          <w:lang w:val="en-US"/>
        </w:rPr>
        <w:t xml:space="preserve">(a) </w:t>
      </w:r>
      <w:r w:rsidRPr="00BB3E0B">
        <w:rPr>
          <w:rFonts w:ascii="Arial" w:eastAsia="Times New Roman" w:hAnsi="Arial" w:cs="Arial"/>
          <w:lang w:val="en-US"/>
        </w:rPr>
        <w:t xml:space="preserve">Yes, </w:t>
      </w:r>
      <w:r w:rsidRPr="006E7C33">
        <w:rPr>
          <w:rFonts w:ascii="Arial" w:eastAsia="Times New Roman" w:hAnsi="Arial" w:cs="Arial"/>
          <w:lang w:val="en-US"/>
        </w:rPr>
        <w:t>corrective action</w:t>
      </w:r>
      <w:r w:rsidRPr="00BB3E0B">
        <w:rPr>
          <w:rFonts w:ascii="Arial" w:eastAsia="Times New Roman" w:hAnsi="Arial" w:cs="Arial"/>
          <w:lang w:val="en-US"/>
        </w:rPr>
        <w:t xml:space="preserve"> has been taken to prevent future irregular expenditure. </w:t>
      </w:r>
      <w:r>
        <w:rPr>
          <w:rFonts w:ascii="Arial" w:eastAsia="Times New Roman" w:hAnsi="Arial" w:cs="Arial"/>
          <w:lang w:val="en-US"/>
        </w:rPr>
        <w:t xml:space="preserve">The </w:t>
      </w:r>
    </w:p>
    <w:p w:rsidR="009E0EB7" w:rsidRDefault="009E0EB7" w:rsidP="00C5065C">
      <w:pPr>
        <w:pStyle w:val="ListParagraph"/>
        <w:spacing w:line="360" w:lineRule="auto"/>
        <w:ind w:left="360" w:firstLine="360"/>
        <w:jc w:val="both"/>
        <w:rPr>
          <w:rFonts w:ascii="Arial" w:eastAsia="Times New Roman" w:hAnsi="Arial" w:cs="Arial"/>
          <w:lang w:val="en-US"/>
        </w:rPr>
      </w:pPr>
      <w:proofErr w:type="gramStart"/>
      <w:r>
        <w:rPr>
          <w:rFonts w:ascii="Arial" w:eastAsia="Times New Roman" w:hAnsi="Arial" w:cs="Arial"/>
          <w:lang w:val="en-US"/>
        </w:rPr>
        <w:t>following</w:t>
      </w:r>
      <w:proofErr w:type="gramEnd"/>
      <w:r>
        <w:rPr>
          <w:rFonts w:ascii="Arial" w:eastAsia="Times New Roman" w:hAnsi="Arial" w:cs="Arial"/>
          <w:lang w:val="en-US"/>
        </w:rPr>
        <w:t xml:space="preserve"> c</w:t>
      </w:r>
      <w:r w:rsidRPr="00BB3E0B">
        <w:rPr>
          <w:rFonts w:ascii="Arial" w:eastAsia="Times New Roman" w:hAnsi="Arial" w:cs="Arial"/>
          <w:lang w:val="en-US"/>
        </w:rPr>
        <w:t xml:space="preserve">orrective action </w:t>
      </w:r>
      <w:r w:rsidR="00DD033A">
        <w:rPr>
          <w:rFonts w:ascii="Arial" w:eastAsia="Times New Roman" w:hAnsi="Arial" w:cs="Arial"/>
          <w:lang w:val="en-US"/>
        </w:rPr>
        <w:t>were</w:t>
      </w:r>
      <w:r>
        <w:rPr>
          <w:rFonts w:ascii="Arial" w:eastAsia="Times New Roman" w:hAnsi="Arial" w:cs="Arial"/>
          <w:lang w:val="en-US"/>
        </w:rPr>
        <w:t xml:space="preserve"> taken</w:t>
      </w:r>
      <w:r w:rsidRPr="00BB3E0B">
        <w:rPr>
          <w:rFonts w:ascii="Arial" w:eastAsia="Times New Roman" w:hAnsi="Arial" w:cs="Arial"/>
          <w:lang w:val="en-US"/>
        </w:rPr>
        <w:t>:</w:t>
      </w:r>
    </w:p>
    <w:p w:rsidR="009E0EB7" w:rsidRPr="00C5065C" w:rsidRDefault="009E0EB7" w:rsidP="009E0EB7">
      <w:pPr>
        <w:numPr>
          <w:ilvl w:val="0"/>
          <w:numId w:val="3"/>
        </w:numPr>
        <w:spacing w:after="0" w:line="360" w:lineRule="auto"/>
        <w:jc w:val="both"/>
        <w:rPr>
          <w:rFonts w:ascii="Arial" w:eastAsia="Times New Roman" w:hAnsi="Arial" w:cs="Arial"/>
          <w:lang w:val="en-US"/>
        </w:rPr>
      </w:pPr>
      <w:r w:rsidRPr="00C5065C">
        <w:rPr>
          <w:rFonts w:ascii="Arial" w:eastAsia="Times New Roman" w:hAnsi="Arial" w:cs="Arial"/>
          <w:lang w:val="en-US"/>
        </w:rPr>
        <w:t>Supply Chain Management policies and procedures were reviewed and implemented;</w:t>
      </w:r>
    </w:p>
    <w:p w:rsidR="009E0EB7" w:rsidRPr="00C5065C" w:rsidRDefault="009E0EB7" w:rsidP="00C5065C">
      <w:pPr>
        <w:pStyle w:val="ListParagraph"/>
        <w:numPr>
          <w:ilvl w:val="0"/>
          <w:numId w:val="3"/>
        </w:numPr>
        <w:spacing w:line="360" w:lineRule="auto"/>
        <w:jc w:val="both"/>
        <w:rPr>
          <w:rFonts w:ascii="Arial" w:eastAsia="Times New Roman" w:hAnsi="Arial" w:cs="Arial"/>
          <w:lang w:val="en-US"/>
        </w:rPr>
      </w:pPr>
      <w:r w:rsidRPr="00C5065C">
        <w:rPr>
          <w:rFonts w:ascii="Arial" w:eastAsia="Times New Roman" w:hAnsi="Arial" w:cs="Arial"/>
          <w:lang w:val="en-US"/>
        </w:rPr>
        <w:t>Forensic audits/investigations were conducted;</w:t>
      </w:r>
      <w:r w:rsidR="00C5065C" w:rsidRPr="00C5065C">
        <w:rPr>
          <w:rFonts w:ascii="Arial" w:eastAsia="Times New Roman" w:hAnsi="Arial" w:cs="Arial"/>
          <w:lang w:val="en-US"/>
        </w:rPr>
        <w:t xml:space="preserve"> </w:t>
      </w:r>
      <w:r w:rsidRPr="00C5065C">
        <w:rPr>
          <w:rFonts w:ascii="Arial" w:eastAsia="Times New Roman" w:hAnsi="Arial" w:cs="Arial"/>
          <w:lang w:val="en-US"/>
        </w:rPr>
        <w:t>and</w:t>
      </w:r>
    </w:p>
    <w:p w:rsidR="009E0EB7" w:rsidRPr="00DD033A" w:rsidRDefault="009E0EB7" w:rsidP="00DD033A">
      <w:pPr>
        <w:pStyle w:val="ListParagraph"/>
        <w:numPr>
          <w:ilvl w:val="0"/>
          <w:numId w:val="3"/>
        </w:numPr>
        <w:spacing w:line="360" w:lineRule="auto"/>
        <w:ind w:left="1434" w:hanging="357"/>
        <w:contextualSpacing w:val="0"/>
        <w:jc w:val="both"/>
        <w:rPr>
          <w:rFonts w:ascii="Arial" w:eastAsia="Times New Roman" w:hAnsi="Arial" w:cs="Arial"/>
          <w:lang w:val="en-US"/>
        </w:rPr>
      </w:pPr>
      <w:r w:rsidRPr="00C5065C">
        <w:rPr>
          <w:rFonts w:ascii="Arial" w:eastAsia="Times New Roman" w:hAnsi="Arial" w:cs="Arial"/>
          <w:lang w:val="en-US"/>
        </w:rPr>
        <w:t>Regulation of spending</w:t>
      </w:r>
      <w:r w:rsidR="00DD033A">
        <w:rPr>
          <w:rFonts w:ascii="Arial" w:eastAsia="Times New Roman" w:hAnsi="Arial" w:cs="Arial"/>
          <w:lang w:val="en-US"/>
        </w:rPr>
        <w:t>.</w:t>
      </w:r>
    </w:p>
    <w:p w:rsidR="009E0EB7" w:rsidRDefault="009E0EB7" w:rsidP="00DD033A">
      <w:pPr>
        <w:pStyle w:val="ListParagraph"/>
        <w:spacing w:after="0" w:line="360" w:lineRule="auto"/>
        <w:ind w:left="360"/>
        <w:contextualSpacing w:val="0"/>
        <w:jc w:val="both"/>
        <w:rPr>
          <w:rFonts w:ascii="Arial" w:eastAsia="Times New Roman" w:hAnsi="Arial" w:cs="Arial"/>
          <w:lang w:val="en-US"/>
        </w:rPr>
      </w:pPr>
      <w:r>
        <w:rPr>
          <w:rFonts w:ascii="Arial" w:eastAsia="Times New Roman" w:hAnsi="Arial" w:cs="Arial"/>
          <w:lang w:val="en-US"/>
        </w:rPr>
        <w:t xml:space="preserve">(b) </w:t>
      </w:r>
      <w:r w:rsidR="00DD033A" w:rsidRPr="00BB3E0B">
        <w:rPr>
          <w:rFonts w:ascii="Arial" w:eastAsia="Times New Roman" w:hAnsi="Arial" w:cs="Arial"/>
          <w:lang w:val="en-US"/>
        </w:rPr>
        <w:t xml:space="preserve">Yes, </w:t>
      </w:r>
      <w:r w:rsidR="00DD033A">
        <w:rPr>
          <w:rFonts w:ascii="Arial" w:eastAsia="Times New Roman" w:hAnsi="Arial" w:cs="Arial"/>
          <w:lang w:val="en-US"/>
        </w:rPr>
        <w:t>disciplinary</w:t>
      </w:r>
      <w:r w:rsidR="00DD033A" w:rsidRPr="006E7C33">
        <w:rPr>
          <w:rFonts w:ascii="Arial" w:eastAsia="Times New Roman" w:hAnsi="Arial" w:cs="Arial"/>
          <w:lang w:val="en-US"/>
        </w:rPr>
        <w:t xml:space="preserve"> action</w:t>
      </w:r>
      <w:r w:rsidR="00DD033A" w:rsidRPr="00BB3E0B">
        <w:rPr>
          <w:rFonts w:ascii="Arial" w:eastAsia="Times New Roman" w:hAnsi="Arial" w:cs="Arial"/>
          <w:lang w:val="en-US"/>
        </w:rPr>
        <w:t xml:space="preserve"> </w:t>
      </w:r>
      <w:r w:rsidR="00DD033A">
        <w:rPr>
          <w:rFonts w:ascii="Arial" w:eastAsia="Times New Roman" w:hAnsi="Arial" w:cs="Arial"/>
          <w:lang w:val="en-US"/>
        </w:rPr>
        <w:t xml:space="preserve">was </w:t>
      </w:r>
      <w:r w:rsidR="00DD033A" w:rsidRPr="00BB3E0B">
        <w:rPr>
          <w:rFonts w:ascii="Arial" w:eastAsia="Times New Roman" w:hAnsi="Arial" w:cs="Arial"/>
          <w:lang w:val="en-US"/>
        </w:rPr>
        <w:t>taken</w:t>
      </w:r>
      <w:r w:rsidR="00DD033A">
        <w:rPr>
          <w:rFonts w:ascii="Arial" w:eastAsia="Times New Roman" w:hAnsi="Arial" w:cs="Arial"/>
          <w:lang w:val="en-US"/>
        </w:rPr>
        <w:t xml:space="preserve"> as outlined: </w:t>
      </w:r>
    </w:p>
    <w:p w:rsidR="009E0EB7" w:rsidRDefault="009E0EB7" w:rsidP="00DD033A">
      <w:pPr>
        <w:pStyle w:val="ListParagraph"/>
        <w:numPr>
          <w:ilvl w:val="0"/>
          <w:numId w:val="8"/>
        </w:numPr>
        <w:spacing w:after="0" w:line="360" w:lineRule="auto"/>
        <w:contextualSpacing w:val="0"/>
        <w:jc w:val="both"/>
        <w:rPr>
          <w:rFonts w:ascii="Arial" w:eastAsia="Times New Roman" w:hAnsi="Arial" w:cs="Arial"/>
          <w:lang w:val="en-US"/>
        </w:rPr>
      </w:pPr>
      <w:r w:rsidRPr="00BB3E0B">
        <w:rPr>
          <w:rFonts w:ascii="Arial" w:eastAsia="Times New Roman" w:hAnsi="Arial" w:cs="Arial"/>
          <w:lang w:val="en-US"/>
        </w:rPr>
        <w:t xml:space="preserve">The Administrator of SASSETA has instituted disciplinary </w:t>
      </w:r>
      <w:r w:rsidR="006D495F">
        <w:rPr>
          <w:rFonts w:ascii="Arial" w:eastAsia="Times New Roman" w:hAnsi="Arial" w:cs="Arial"/>
          <w:lang w:val="en-US"/>
        </w:rPr>
        <w:t>action</w:t>
      </w:r>
      <w:r w:rsidRPr="00BB3E0B">
        <w:rPr>
          <w:rFonts w:ascii="Arial" w:eastAsia="Times New Roman" w:hAnsi="Arial" w:cs="Arial"/>
          <w:lang w:val="en-US"/>
        </w:rPr>
        <w:t xml:space="preserve"> against three affected staff members</w:t>
      </w:r>
      <w:r w:rsidR="00DD033A">
        <w:rPr>
          <w:rFonts w:ascii="Arial" w:eastAsia="Times New Roman" w:hAnsi="Arial" w:cs="Arial"/>
          <w:lang w:val="en-US"/>
        </w:rPr>
        <w:t>,</w:t>
      </w:r>
      <w:r w:rsidRPr="00BB3E0B">
        <w:rPr>
          <w:rFonts w:ascii="Arial" w:eastAsia="Times New Roman" w:hAnsi="Arial" w:cs="Arial"/>
          <w:lang w:val="en-US"/>
        </w:rPr>
        <w:t xml:space="preserve"> all of whom are no longer with SASSETA.  </w:t>
      </w:r>
    </w:p>
    <w:p w:rsidR="009E0EB7" w:rsidRPr="00DD033A" w:rsidRDefault="00DD033A" w:rsidP="00DD033A">
      <w:pPr>
        <w:pStyle w:val="ListParagraph"/>
        <w:numPr>
          <w:ilvl w:val="0"/>
          <w:numId w:val="8"/>
        </w:numPr>
        <w:spacing w:line="360" w:lineRule="auto"/>
        <w:ind w:left="1077" w:hanging="357"/>
        <w:contextualSpacing w:val="0"/>
        <w:jc w:val="both"/>
        <w:rPr>
          <w:rFonts w:ascii="Arial" w:eastAsia="Times New Roman" w:hAnsi="Arial" w:cs="Arial"/>
          <w:lang w:val="en-US"/>
        </w:rPr>
      </w:pPr>
      <w:r>
        <w:rPr>
          <w:rFonts w:ascii="Arial" w:eastAsia="Times New Roman" w:hAnsi="Arial" w:cs="Arial"/>
          <w:lang w:val="en-US"/>
        </w:rPr>
        <w:t>A</w:t>
      </w:r>
      <w:r w:rsidR="009E0EB7" w:rsidRPr="00946B78">
        <w:rPr>
          <w:rFonts w:ascii="Arial" w:eastAsia="Times New Roman" w:hAnsi="Arial" w:cs="Arial"/>
          <w:lang w:val="en-US"/>
        </w:rPr>
        <w:t xml:space="preserve"> notice to suspend a senior staff member, pending the finalisation of investigations </w:t>
      </w:r>
      <w:proofErr w:type="gramStart"/>
      <w:r w:rsidR="009E0EB7" w:rsidRPr="00946B78">
        <w:rPr>
          <w:rFonts w:ascii="Arial" w:eastAsia="Times New Roman" w:hAnsi="Arial" w:cs="Arial"/>
          <w:lang w:val="en-US"/>
        </w:rPr>
        <w:t>into</w:t>
      </w:r>
      <w:proofErr w:type="gramEnd"/>
      <w:r w:rsidR="009E0EB7" w:rsidRPr="00946B78">
        <w:rPr>
          <w:rFonts w:ascii="Arial" w:eastAsia="Times New Roman" w:hAnsi="Arial" w:cs="Arial"/>
          <w:lang w:val="en-US"/>
        </w:rPr>
        <w:t xml:space="preserve"> irregular activities, has been served. </w:t>
      </w:r>
    </w:p>
    <w:p w:rsidR="00AC5238" w:rsidRDefault="009E0EB7" w:rsidP="009E0EB7">
      <w:pPr>
        <w:pStyle w:val="ListParagraph"/>
        <w:numPr>
          <w:ilvl w:val="0"/>
          <w:numId w:val="7"/>
        </w:numPr>
        <w:spacing w:line="360" w:lineRule="auto"/>
        <w:jc w:val="both"/>
        <w:rPr>
          <w:rFonts w:ascii="Arial" w:eastAsia="Times New Roman" w:hAnsi="Arial" w:cs="Arial"/>
          <w:lang w:val="en-US"/>
        </w:rPr>
      </w:pPr>
      <w:r>
        <w:rPr>
          <w:rFonts w:ascii="Arial" w:eastAsia="Times New Roman" w:hAnsi="Arial" w:cs="Arial"/>
          <w:lang w:val="en-US"/>
        </w:rPr>
        <w:t xml:space="preserve">(a) </w:t>
      </w:r>
      <w:r w:rsidR="00AC5238">
        <w:rPr>
          <w:rFonts w:ascii="Arial" w:eastAsia="Times New Roman" w:hAnsi="Arial" w:cs="Arial"/>
          <w:lang w:val="en-US"/>
        </w:rPr>
        <w:t>Based on the information at our disposal, t</w:t>
      </w:r>
      <w:r>
        <w:rPr>
          <w:rFonts w:ascii="Arial" w:eastAsia="Times New Roman" w:hAnsi="Arial" w:cs="Arial"/>
          <w:lang w:val="en-US"/>
        </w:rPr>
        <w:t>he</w:t>
      </w:r>
      <w:r w:rsidRPr="00EF28BA">
        <w:rPr>
          <w:rFonts w:ascii="Arial" w:eastAsia="Times New Roman" w:hAnsi="Arial" w:cs="Arial"/>
          <w:lang w:val="en-US"/>
        </w:rPr>
        <w:t xml:space="preserve"> </w:t>
      </w:r>
      <w:r>
        <w:rPr>
          <w:rFonts w:ascii="Arial" w:eastAsia="Times New Roman" w:hAnsi="Arial" w:cs="Arial"/>
          <w:lang w:val="en-US"/>
        </w:rPr>
        <w:t xml:space="preserve">Local Government </w:t>
      </w:r>
      <w:r w:rsidRPr="007C6EC3">
        <w:rPr>
          <w:rFonts w:ascii="Arial" w:eastAsia="Times New Roman" w:hAnsi="Arial" w:cs="Arial"/>
          <w:lang w:val="en-US"/>
        </w:rPr>
        <w:t xml:space="preserve">Sector Education and </w:t>
      </w:r>
    </w:p>
    <w:p w:rsidR="00AC5238" w:rsidRDefault="009E0EB7" w:rsidP="00AC5238">
      <w:pPr>
        <w:pStyle w:val="ListParagraph"/>
        <w:spacing w:line="360" w:lineRule="auto"/>
        <w:ind w:left="360" w:firstLine="360"/>
        <w:jc w:val="both"/>
        <w:rPr>
          <w:rFonts w:ascii="Arial" w:eastAsia="Times New Roman" w:hAnsi="Arial" w:cs="Arial"/>
          <w:lang w:val="en-US"/>
        </w:rPr>
      </w:pPr>
      <w:r w:rsidRPr="007C6EC3">
        <w:rPr>
          <w:rFonts w:ascii="Arial" w:eastAsia="Times New Roman" w:hAnsi="Arial" w:cs="Arial"/>
          <w:lang w:val="en-US"/>
        </w:rPr>
        <w:t xml:space="preserve">Training Authority (LGSETA) </w:t>
      </w:r>
      <w:r>
        <w:rPr>
          <w:rFonts w:ascii="Arial" w:eastAsia="Times New Roman" w:hAnsi="Arial" w:cs="Arial"/>
          <w:lang w:val="en-US"/>
        </w:rPr>
        <w:t>concluded</w:t>
      </w:r>
      <w:r w:rsidR="00AC5238">
        <w:rPr>
          <w:rFonts w:ascii="Arial" w:eastAsia="Times New Roman" w:hAnsi="Arial" w:cs="Arial"/>
          <w:lang w:val="en-US"/>
        </w:rPr>
        <w:t xml:space="preserve"> </w:t>
      </w:r>
      <w:r w:rsidRPr="007C6EC3">
        <w:rPr>
          <w:rFonts w:ascii="Arial" w:eastAsia="Times New Roman" w:hAnsi="Arial" w:cs="Arial"/>
          <w:lang w:val="en-US"/>
        </w:rPr>
        <w:t xml:space="preserve">three contracts without obtaining three </w:t>
      </w:r>
    </w:p>
    <w:p w:rsidR="009E0EB7" w:rsidRPr="007C6EC3" w:rsidRDefault="009E0EB7" w:rsidP="00AC5238">
      <w:pPr>
        <w:pStyle w:val="ListParagraph"/>
        <w:spacing w:line="360" w:lineRule="auto"/>
        <w:ind w:left="360" w:firstLine="360"/>
        <w:jc w:val="both"/>
        <w:rPr>
          <w:rFonts w:ascii="Arial" w:eastAsia="Times New Roman" w:hAnsi="Arial" w:cs="Arial"/>
          <w:lang w:val="en-US"/>
        </w:rPr>
      </w:pPr>
      <w:proofErr w:type="gramStart"/>
      <w:r w:rsidRPr="007C6EC3">
        <w:rPr>
          <w:rFonts w:ascii="Arial" w:eastAsia="Times New Roman" w:hAnsi="Arial" w:cs="Arial"/>
          <w:lang w:val="en-US"/>
        </w:rPr>
        <w:t>quotations</w:t>
      </w:r>
      <w:proofErr w:type="gramEnd"/>
      <w:r w:rsidRPr="007C6EC3">
        <w:rPr>
          <w:rFonts w:ascii="Arial" w:eastAsia="Times New Roman" w:hAnsi="Arial" w:cs="Arial"/>
          <w:lang w:val="en-US"/>
        </w:rPr>
        <w:t xml:space="preserve">. </w:t>
      </w:r>
    </w:p>
    <w:p w:rsidR="009E0EB7" w:rsidRPr="00BB3E0B" w:rsidRDefault="009E0EB7" w:rsidP="006D495F">
      <w:pPr>
        <w:pStyle w:val="ListParagraph"/>
        <w:spacing w:line="360" w:lineRule="auto"/>
        <w:ind w:left="709" w:hanging="349"/>
        <w:jc w:val="both"/>
        <w:rPr>
          <w:rFonts w:ascii="Arial" w:eastAsia="Times New Roman" w:hAnsi="Arial" w:cs="Arial"/>
          <w:lang w:val="en-US"/>
        </w:rPr>
      </w:pPr>
      <w:r w:rsidRPr="00BB3E0B">
        <w:rPr>
          <w:rFonts w:ascii="Arial" w:eastAsia="Times New Roman" w:hAnsi="Arial" w:cs="Arial"/>
          <w:lang w:val="en-US"/>
        </w:rPr>
        <w:lastRenderedPageBreak/>
        <w:t>(b)</w:t>
      </w:r>
      <w:r w:rsidR="006D495F">
        <w:rPr>
          <w:rFonts w:ascii="Arial" w:eastAsia="Times New Roman" w:hAnsi="Arial" w:cs="Arial"/>
          <w:lang w:val="en-US"/>
        </w:rPr>
        <w:t>,</w:t>
      </w:r>
      <w:r w:rsidR="00DD033A">
        <w:rPr>
          <w:rFonts w:ascii="Arial" w:eastAsia="Times New Roman" w:hAnsi="Arial" w:cs="Arial"/>
          <w:lang w:val="en-US"/>
        </w:rPr>
        <w:t xml:space="preserve"> </w:t>
      </w:r>
      <w:r>
        <w:rPr>
          <w:rFonts w:ascii="Arial" w:eastAsia="Times New Roman" w:hAnsi="Arial" w:cs="Arial"/>
          <w:lang w:val="en-US"/>
        </w:rPr>
        <w:t xml:space="preserve">(c) and (d) </w:t>
      </w:r>
      <w:proofErr w:type="gramStart"/>
      <w:r w:rsidRPr="00BB3E0B">
        <w:rPr>
          <w:rFonts w:ascii="Arial" w:eastAsia="Times New Roman" w:hAnsi="Arial" w:cs="Arial"/>
          <w:lang w:val="en-US"/>
        </w:rPr>
        <w:t>The</w:t>
      </w:r>
      <w:proofErr w:type="gramEnd"/>
      <w:r w:rsidRPr="00BB3E0B">
        <w:rPr>
          <w:rFonts w:ascii="Arial" w:eastAsia="Times New Roman" w:hAnsi="Arial" w:cs="Arial"/>
          <w:lang w:val="en-US"/>
        </w:rPr>
        <w:t xml:space="preserve"> table below</w:t>
      </w:r>
      <w:r>
        <w:rPr>
          <w:rFonts w:ascii="Arial" w:eastAsia="Times New Roman" w:hAnsi="Arial" w:cs="Arial"/>
          <w:lang w:val="en-US"/>
        </w:rPr>
        <w:t xml:space="preserve"> gives details of the names of the awarded companies, services procured and </w:t>
      </w:r>
      <w:r w:rsidRPr="00BB3E0B">
        <w:rPr>
          <w:rFonts w:ascii="Arial" w:eastAsia="Times New Roman" w:hAnsi="Arial" w:cs="Arial"/>
          <w:lang w:val="en-US"/>
        </w:rPr>
        <w:t xml:space="preserve">value of </w:t>
      </w:r>
      <w:r>
        <w:rPr>
          <w:rFonts w:ascii="Arial" w:eastAsia="Times New Roman" w:hAnsi="Arial" w:cs="Arial"/>
          <w:lang w:val="en-US"/>
        </w:rPr>
        <w:t>each contract</w:t>
      </w:r>
      <w:r w:rsidRPr="00BB3E0B">
        <w:rPr>
          <w:rFonts w:ascii="Arial" w:eastAsia="Times New Roman" w:hAnsi="Arial" w:cs="Arial"/>
          <w:lang w:val="en-US"/>
        </w:rPr>
        <w:t>:</w:t>
      </w:r>
    </w:p>
    <w:tbl>
      <w:tblPr>
        <w:tblW w:w="9072" w:type="dxa"/>
        <w:tblInd w:w="250" w:type="dxa"/>
        <w:tblLook w:val="04A0"/>
      </w:tblPr>
      <w:tblGrid>
        <w:gridCol w:w="2693"/>
        <w:gridCol w:w="4253"/>
        <w:gridCol w:w="2126"/>
      </w:tblGrid>
      <w:tr w:rsidR="009E0EB7" w:rsidRPr="00EF28BA" w:rsidTr="00B86C98">
        <w:trPr>
          <w:trHeight w:val="239"/>
        </w:trPr>
        <w:tc>
          <w:tcPr>
            <w:tcW w:w="2693" w:type="dxa"/>
            <w:tcBorders>
              <w:top w:val="single" w:sz="8" w:space="0" w:color="auto"/>
              <w:left w:val="single" w:sz="4" w:space="0" w:color="auto"/>
              <w:bottom w:val="single" w:sz="4" w:space="0" w:color="auto"/>
              <w:right w:val="single" w:sz="4" w:space="0" w:color="auto"/>
            </w:tcBorders>
            <w:shd w:val="clear" w:color="auto" w:fill="BFBFBF"/>
            <w:vAlign w:val="center"/>
          </w:tcPr>
          <w:p w:rsidR="009E0EB7" w:rsidRPr="00EF28BA" w:rsidRDefault="009E0EB7" w:rsidP="00B86C98">
            <w:pPr>
              <w:spacing w:before="60" w:after="60" w:line="240" w:lineRule="auto"/>
              <w:jc w:val="center"/>
              <w:rPr>
                <w:rFonts w:ascii="Arial" w:hAnsi="Arial" w:cs="Arial"/>
                <w:b/>
              </w:rPr>
            </w:pPr>
            <w:r w:rsidRPr="00EF28BA">
              <w:rPr>
                <w:rFonts w:ascii="Arial" w:hAnsi="Arial" w:cs="Arial"/>
                <w:b/>
              </w:rPr>
              <w:t>Awarded Company</w:t>
            </w:r>
          </w:p>
        </w:tc>
        <w:tc>
          <w:tcPr>
            <w:tcW w:w="4253" w:type="dxa"/>
            <w:tcBorders>
              <w:top w:val="single" w:sz="8" w:space="0" w:color="auto"/>
              <w:left w:val="single" w:sz="4" w:space="0" w:color="auto"/>
              <w:bottom w:val="single" w:sz="4" w:space="0" w:color="auto"/>
              <w:right w:val="single" w:sz="4" w:space="0" w:color="auto"/>
            </w:tcBorders>
            <w:shd w:val="clear" w:color="auto" w:fill="BFBFBF"/>
            <w:vAlign w:val="center"/>
          </w:tcPr>
          <w:p w:rsidR="009E0EB7" w:rsidRPr="00EF28BA" w:rsidRDefault="009E0EB7" w:rsidP="00B86C98">
            <w:pPr>
              <w:spacing w:before="60" w:after="60" w:line="240" w:lineRule="auto"/>
              <w:jc w:val="center"/>
              <w:rPr>
                <w:rFonts w:ascii="Arial" w:hAnsi="Arial" w:cs="Arial"/>
                <w:b/>
              </w:rPr>
            </w:pPr>
            <w:r w:rsidRPr="00EF28BA">
              <w:rPr>
                <w:rFonts w:ascii="Arial" w:hAnsi="Arial" w:cs="Arial"/>
                <w:b/>
              </w:rPr>
              <w:t>Services</w:t>
            </w:r>
          </w:p>
        </w:tc>
        <w:tc>
          <w:tcPr>
            <w:tcW w:w="2126" w:type="dxa"/>
            <w:tcBorders>
              <w:top w:val="single" w:sz="8" w:space="0" w:color="auto"/>
              <w:left w:val="nil"/>
              <w:bottom w:val="single" w:sz="4" w:space="0" w:color="auto"/>
              <w:right w:val="single" w:sz="4" w:space="0" w:color="auto"/>
            </w:tcBorders>
            <w:shd w:val="clear" w:color="auto" w:fill="BFBFBF"/>
            <w:noWrap/>
            <w:vAlign w:val="center"/>
          </w:tcPr>
          <w:p w:rsidR="009E0EB7" w:rsidRPr="00EF28BA" w:rsidRDefault="009E0EB7" w:rsidP="00B86C98">
            <w:pPr>
              <w:spacing w:before="60" w:after="60" w:line="240" w:lineRule="auto"/>
              <w:jc w:val="center"/>
              <w:rPr>
                <w:rFonts w:ascii="Arial" w:hAnsi="Arial" w:cs="Arial"/>
                <w:b/>
              </w:rPr>
            </w:pPr>
            <w:r w:rsidRPr="00EF28BA">
              <w:rPr>
                <w:rFonts w:ascii="Arial" w:hAnsi="Arial" w:cs="Arial"/>
                <w:b/>
              </w:rPr>
              <w:t>Value/Amount</w:t>
            </w:r>
          </w:p>
        </w:tc>
      </w:tr>
      <w:tr w:rsidR="009E0EB7" w:rsidRPr="00EF28BA" w:rsidTr="00A9694B">
        <w:trPr>
          <w:trHeight w:val="521"/>
        </w:trPr>
        <w:tc>
          <w:tcPr>
            <w:tcW w:w="2693" w:type="dxa"/>
            <w:tcBorders>
              <w:top w:val="single" w:sz="4" w:space="0" w:color="auto"/>
              <w:left w:val="single" w:sz="4" w:space="0" w:color="auto"/>
              <w:bottom w:val="single" w:sz="4" w:space="0" w:color="auto"/>
              <w:right w:val="single" w:sz="4" w:space="0" w:color="auto"/>
            </w:tcBorders>
          </w:tcPr>
          <w:p w:rsidR="009E0EB7" w:rsidRPr="00EF28BA" w:rsidRDefault="009E0EB7" w:rsidP="00A9694B">
            <w:pPr>
              <w:numPr>
                <w:ilvl w:val="0"/>
                <w:numId w:val="10"/>
              </w:numPr>
              <w:spacing w:before="60" w:after="60" w:line="240" w:lineRule="auto"/>
              <w:rPr>
                <w:rFonts w:ascii="Arial" w:eastAsia="Times New Roman" w:hAnsi="Arial" w:cs="Arial"/>
                <w:lang w:val="en-US"/>
              </w:rPr>
            </w:pPr>
            <w:r w:rsidRPr="00DC298B">
              <w:rPr>
                <w:rFonts w:ascii="Arial" w:eastAsia="Times New Roman" w:hAnsi="Arial" w:cs="Arial"/>
                <w:lang w:val="en-US"/>
              </w:rPr>
              <w:t>Nameng Chartered Accountants (SA) Incorporated</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E0EB7" w:rsidRPr="00EF28BA" w:rsidRDefault="009E0EB7" w:rsidP="00A9694B">
            <w:pPr>
              <w:spacing w:before="60" w:after="60" w:line="240" w:lineRule="auto"/>
              <w:rPr>
                <w:rFonts w:ascii="Arial" w:eastAsia="Times New Roman" w:hAnsi="Arial" w:cs="Arial"/>
                <w:lang w:val="en-US"/>
              </w:rPr>
            </w:pPr>
            <w:r w:rsidRPr="00BB3E0B">
              <w:rPr>
                <w:rFonts w:ascii="Arial" w:hAnsi="Arial" w:cs="Arial"/>
              </w:rPr>
              <w:t xml:space="preserve">Asset Verification </w:t>
            </w:r>
            <w:r>
              <w:rPr>
                <w:rFonts w:ascii="Arial" w:hAnsi="Arial" w:cs="Arial"/>
              </w:rPr>
              <w:t>P</w:t>
            </w:r>
            <w:r w:rsidRPr="00BB3E0B">
              <w:rPr>
                <w:rFonts w:ascii="Arial" w:hAnsi="Arial" w:cs="Arial"/>
              </w:rPr>
              <w:t>roject</w:t>
            </w:r>
          </w:p>
        </w:tc>
        <w:tc>
          <w:tcPr>
            <w:tcW w:w="2126" w:type="dxa"/>
            <w:tcBorders>
              <w:top w:val="nil"/>
              <w:left w:val="nil"/>
              <w:bottom w:val="single" w:sz="4" w:space="0" w:color="auto"/>
              <w:right w:val="single" w:sz="4" w:space="0" w:color="auto"/>
            </w:tcBorders>
            <w:shd w:val="clear" w:color="auto" w:fill="auto"/>
            <w:noWrap/>
          </w:tcPr>
          <w:p w:rsidR="009E0EB7" w:rsidRPr="00EF28BA" w:rsidRDefault="009E0EB7" w:rsidP="00A9694B">
            <w:pPr>
              <w:spacing w:before="60" w:after="60" w:line="240" w:lineRule="auto"/>
              <w:jc w:val="right"/>
              <w:rPr>
                <w:rFonts w:ascii="Arial" w:eastAsia="Times New Roman" w:hAnsi="Arial" w:cs="Arial"/>
                <w:lang w:val="en-US"/>
              </w:rPr>
            </w:pPr>
            <w:r>
              <w:rPr>
                <w:rFonts w:ascii="Arial" w:hAnsi="Arial" w:cs="Arial"/>
              </w:rPr>
              <w:t>R</w:t>
            </w:r>
            <w:r w:rsidRPr="00BB3E0B">
              <w:rPr>
                <w:rFonts w:ascii="Arial" w:hAnsi="Arial" w:cs="Arial"/>
              </w:rPr>
              <w:t>432</w:t>
            </w:r>
            <w:r>
              <w:rPr>
                <w:rFonts w:ascii="Arial" w:hAnsi="Arial" w:cs="Arial"/>
              </w:rPr>
              <w:t> </w:t>
            </w:r>
            <w:r w:rsidRPr="00BB3E0B">
              <w:rPr>
                <w:rFonts w:ascii="Arial" w:hAnsi="Arial" w:cs="Arial"/>
              </w:rPr>
              <w:t>960</w:t>
            </w:r>
            <w:r>
              <w:rPr>
                <w:rFonts w:ascii="Arial" w:hAnsi="Arial" w:cs="Arial"/>
              </w:rPr>
              <w:t>.00</w:t>
            </w:r>
          </w:p>
        </w:tc>
      </w:tr>
      <w:tr w:rsidR="009E0EB7" w:rsidRPr="00EF28BA" w:rsidTr="00A9694B">
        <w:trPr>
          <w:trHeight w:val="221"/>
        </w:trPr>
        <w:tc>
          <w:tcPr>
            <w:tcW w:w="2693" w:type="dxa"/>
            <w:tcBorders>
              <w:top w:val="single" w:sz="4" w:space="0" w:color="auto"/>
              <w:left w:val="single" w:sz="4" w:space="0" w:color="auto"/>
              <w:bottom w:val="single" w:sz="4" w:space="0" w:color="auto"/>
              <w:right w:val="single" w:sz="4" w:space="0" w:color="auto"/>
            </w:tcBorders>
          </w:tcPr>
          <w:p w:rsidR="009E0EB7" w:rsidRPr="00EF28BA" w:rsidRDefault="009E0EB7" w:rsidP="00A9694B">
            <w:pPr>
              <w:numPr>
                <w:ilvl w:val="0"/>
                <w:numId w:val="10"/>
              </w:numPr>
              <w:spacing w:before="60" w:after="60" w:line="240" w:lineRule="auto"/>
              <w:rPr>
                <w:rFonts w:ascii="Arial" w:eastAsia="Times New Roman" w:hAnsi="Arial" w:cs="Arial"/>
                <w:lang w:val="en-US"/>
              </w:rPr>
            </w:pPr>
            <w:r w:rsidRPr="00DC298B">
              <w:rPr>
                <w:rFonts w:ascii="Arial" w:eastAsia="Times New Roman" w:hAnsi="Arial" w:cs="Arial"/>
                <w:lang w:val="en-US"/>
              </w:rPr>
              <w:t>MQQR Investment CC</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E0EB7" w:rsidRPr="00EF28BA" w:rsidRDefault="009E0EB7" w:rsidP="00A9694B">
            <w:pPr>
              <w:spacing w:before="60" w:after="60" w:line="240" w:lineRule="auto"/>
              <w:rPr>
                <w:rFonts w:ascii="Arial" w:eastAsia="Times New Roman" w:hAnsi="Arial" w:cs="Arial"/>
                <w:lang w:val="en-US"/>
              </w:rPr>
            </w:pPr>
            <w:r w:rsidRPr="00BB3E0B">
              <w:rPr>
                <w:rFonts w:ascii="Arial" w:hAnsi="Arial" w:cs="Arial"/>
              </w:rPr>
              <w:t>Events Management Services - Sterkspruit Career Exhibition</w:t>
            </w:r>
          </w:p>
        </w:tc>
        <w:tc>
          <w:tcPr>
            <w:tcW w:w="2126" w:type="dxa"/>
            <w:tcBorders>
              <w:top w:val="nil"/>
              <w:left w:val="nil"/>
              <w:bottom w:val="single" w:sz="4" w:space="0" w:color="auto"/>
              <w:right w:val="single" w:sz="4" w:space="0" w:color="auto"/>
            </w:tcBorders>
            <w:shd w:val="clear" w:color="auto" w:fill="auto"/>
            <w:noWrap/>
          </w:tcPr>
          <w:p w:rsidR="009E0EB7" w:rsidRPr="00EF28BA" w:rsidRDefault="009E0EB7" w:rsidP="00A9694B">
            <w:pPr>
              <w:spacing w:before="60" w:after="60" w:line="240" w:lineRule="auto"/>
              <w:jc w:val="right"/>
              <w:rPr>
                <w:rFonts w:ascii="Arial" w:eastAsia="Times New Roman" w:hAnsi="Arial" w:cs="Arial"/>
                <w:lang w:val="en-US"/>
              </w:rPr>
            </w:pPr>
            <w:r>
              <w:rPr>
                <w:rFonts w:ascii="Arial" w:hAnsi="Arial" w:cs="Arial"/>
              </w:rPr>
              <w:t>R</w:t>
            </w:r>
            <w:r w:rsidRPr="00BB3E0B">
              <w:rPr>
                <w:rFonts w:ascii="Arial" w:hAnsi="Arial" w:cs="Arial"/>
              </w:rPr>
              <w:t>2 395 776.12</w:t>
            </w:r>
          </w:p>
        </w:tc>
      </w:tr>
      <w:tr w:rsidR="009E0EB7" w:rsidRPr="00EF28BA" w:rsidTr="00A9694B">
        <w:trPr>
          <w:trHeight w:val="266"/>
        </w:trPr>
        <w:tc>
          <w:tcPr>
            <w:tcW w:w="2693" w:type="dxa"/>
            <w:tcBorders>
              <w:top w:val="single" w:sz="4" w:space="0" w:color="auto"/>
              <w:left w:val="single" w:sz="4" w:space="0" w:color="auto"/>
              <w:bottom w:val="single" w:sz="4" w:space="0" w:color="auto"/>
              <w:right w:val="single" w:sz="4" w:space="0" w:color="auto"/>
            </w:tcBorders>
          </w:tcPr>
          <w:p w:rsidR="009E0EB7" w:rsidRPr="00EF28BA" w:rsidRDefault="009E0EB7" w:rsidP="00A9694B">
            <w:pPr>
              <w:numPr>
                <w:ilvl w:val="0"/>
                <w:numId w:val="10"/>
              </w:numPr>
              <w:spacing w:before="60" w:after="60" w:line="240" w:lineRule="auto"/>
              <w:rPr>
                <w:rFonts w:ascii="Arial" w:eastAsia="Times New Roman" w:hAnsi="Arial" w:cs="Arial"/>
                <w:lang w:val="en-US"/>
              </w:rPr>
            </w:pPr>
            <w:r w:rsidRPr="00DC298B">
              <w:rPr>
                <w:rFonts w:ascii="Arial" w:eastAsia="Times New Roman" w:hAnsi="Arial" w:cs="Arial"/>
                <w:lang w:val="en-US"/>
              </w:rPr>
              <w:t>Jacqueline K Consulting</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E0EB7" w:rsidRPr="00EF28BA" w:rsidRDefault="009E0EB7" w:rsidP="00A9694B">
            <w:pPr>
              <w:spacing w:before="60" w:after="60" w:line="240" w:lineRule="auto"/>
              <w:rPr>
                <w:rFonts w:ascii="Arial" w:eastAsia="Times New Roman" w:hAnsi="Arial" w:cs="Arial"/>
                <w:lang w:val="en-US"/>
              </w:rPr>
            </w:pPr>
            <w:r w:rsidRPr="00BB3E0B">
              <w:rPr>
                <w:rFonts w:ascii="Arial" w:hAnsi="Arial" w:cs="Arial"/>
              </w:rPr>
              <w:t>Provision of Project Management services to assist LGSETA with the office relocation project</w:t>
            </w:r>
          </w:p>
        </w:tc>
        <w:tc>
          <w:tcPr>
            <w:tcW w:w="2126" w:type="dxa"/>
            <w:tcBorders>
              <w:top w:val="nil"/>
              <w:left w:val="nil"/>
              <w:bottom w:val="single" w:sz="4" w:space="0" w:color="auto"/>
              <w:right w:val="single" w:sz="4" w:space="0" w:color="auto"/>
            </w:tcBorders>
            <w:shd w:val="clear" w:color="auto" w:fill="auto"/>
            <w:noWrap/>
          </w:tcPr>
          <w:p w:rsidR="009E0EB7" w:rsidRPr="00EF28BA" w:rsidRDefault="009E0EB7" w:rsidP="00A9694B">
            <w:pPr>
              <w:spacing w:before="60" w:after="60" w:line="240" w:lineRule="auto"/>
              <w:jc w:val="right"/>
              <w:rPr>
                <w:rFonts w:ascii="Arial" w:eastAsia="Times New Roman" w:hAnsi="Arial" w:cs="Arial"/>
                <w:lang w:val="en-US"/>
              </w:rPr>
            </w:pPr>
            <w:r>
              <w:rPr>
                <w:rFonts w:ascii="Arial" w:hAnsi="Arial" w:cs="Arial"/>
              </w:rPr>
              <w:t>R</w:t>
            </w:r>
            <w:r w:rsidRPr="00BB3E0B">
              <w:rPr>
                <w:rFonts w:ascii="Arial" w:hAnsi="Arial" w:cs="Arial"/>
              </w:rPr>
              <w:t>999 780.24</w:t>
            </w:r>
          </w:p>
        </w:tc>
      </w:tr>
    </w:tbl>
    <w:p w:rsidR="009E0EB7" w:rsidRPr="00BB3E0B" w:rsidRDefault="009E0EB7" w:rsidP="009E0EB7">
      <w:pPr>
        <w:pStyle w:val="ListParagraph"/>
        <w:ind w:left="709"/>
        <w:rPr>
          <w:rFonts w:ascii="Arial" w:hAnsi="Arial" w:cs="Arial"/>
          <w:color w:val="FF0000"/>
        </w:rPr>
      </w:pPr>
    </w:p>
    <w:p w:rsidR="009E0EB7" w:rsidRPr="00BB3E0B" w:rsidRDefault="00A9694B" w:rsidP="00DD033A">
      <w:pPr>
        <w:pStyle w:val="ListParagraph"/>
        <w:numPr>
          <w:ilvl w:val="0"/>
          <w:numId w:val="7"/>
        </w:numPr>
        <w:spacing w:after="0" w:line="360" w:lineRule="auto"/>
        <w:ind w:hanging="357"/>
        <w:contextualSpacing w:val="0"/>
        <w:jc w:val="both"/>
        <w:rPr>
          <w:rFonts w:ascii="Arial" w:eastAsia="Times New Roman" w:hAnsi="Arial" w:cs="Arial"/>
          <w:lang w:val="en-US"/>
        </w:rPr>
      </w:pPr>
      <w:r>
        <w:rPr>
          <w:rFonts w:ascii="Arial" w:eastAsia="Times New Roman" w:hAnsi="Arial" w:cs="Arial"/>
          <w:lang w:val="en-US"/>
        </w:rPr>
        <w:t xml:space="preserve">No corrective </w:t>
      </w:r>
      <w:r w:rsidR="009E0EB7" w:rsidRPr="00DC298B">
        <w:rPr>
          <w:rFonts w:ascii="Arial" w:eastAsia="Times New Roman" w:hAnsi="Arial" w:cs="Arial"/>
          <w:lang w:val="en-US"/>
        </w:rPr>
        <w:t xml:space="preserve">or disciplinary action </w:t>
      </w:r>
      <w:r>
        <w:rPr>
          <w:rFonts w:ascii="Arial" w:eastAsia="Times New Roman" w:hAnsi="Arial" w:cs="Arial"/>
          <w:lang w:val="en-US"/>
        </w:rPr>
        <w:t xml:space="preserve">was </w:t>
      </w:r>
      <w:r w:rsidR="009E0EB7" w:rsidRPr="00BB3E0B">
        <w:rPr>
          <w:rFonts w:ascii="Arial" w:eastAsia="Times New Roman" w:hAnsi="Arial" w:cs="Arial"/>
          <w:lang w:val="en-US"/>
        </w:rPr>
        <w:t>taken</w:t>
      </w:r>
      <w:r>
        <w:rPr>
          <w:rFonts w:ascii="Arial" w:eastAsia="Times New Roman" w:hAnsi="Arial" w:cs="Arial"/>
          <w:lang w:val="en-US"/>
        </w:rPr>
        <w:t xml:space="preserve">, </w:t>
      </w:r>
      <w:r w:rsidR="009E0EB7" w:rsidRPr="00BB3E0B">
        <w:rPr>
          <w:rFonts w:ascii="Arial" w:eastAsia="Times New Roman" w:hAnsi="Arial" w:cs="Arial"/>
          <w:lang w:val="en-US"/>
        </w:rPr>
        <w:t>due to the following reasons:</w:t>
      </w:r>
    </w:p>
    <w:p w:rsidR="009E0EB7" w:rsidRPr="003021DF" w:rsidRDefault="009E0EB7" w:rsidP="00DD033A">
      <w:pPr>
        <w:numPr>
          <w:ilvl w:val="0"/>
          <w:numId w:val="11"/>
        </w:numPr>
        <w:spacing w:after="0" w:line="360" w:lineRule="auto"/>
        <w:ind w:hanging="357"/>
        <w:jc w:val="both"/>
        <w:outlineLvl w:val="0"/>
        <w:rPr>
          <w:rFonts w:ascii="Arial" w:eastAsia="Times New Roman" w:hAnsi="Arial" w:cs="Arial"/>
          <w:lang w:val="en-US"/>
        </w:rPr>
      </w:pPr>
      <w:r>
        <w:rPr>
          <w:rFonts w:ascii="Arial" w:eastAsia="Times New Roman" w:hAnsi="Arial" w:cs="Arial"/>
          <w:lang w:val="en-US"/>
        </w:rPr>
        <w:t xml:space="preserve">Assets Verification Project: </w:t>
      </w:r>
      <w:r w:rsidRPr="003021DF">
        <w:rPr>
          <w:rFonts w:ascii="Arial" w:eastAsia="Times New Roman" w:hAnsi="Arial" w:cs="Arial"/>
          <w:lang w:val="en-US"/>
        </w:rPr>
        <w:t>Three quotations were not obtained for this transaction on the basis that</w:t>
      </w:r>
      <w:r w:rsidR="00A9694B">
        <w:rPr>
          <w:rFonts w:ascii="Arial" w:eastAsia="Times New Roman" w:hAnsi="Arial" w:cs="Arial"/>
          <w:lang w:val="en-US"/>
        </w:rPr>
        <w:t xml:space="preserve"> it was an emergency. T</w:t>
      </w:r>
      <w:r w:rsidRPr="003021DF">
        <w:rPr>
          <w:rFonts w:ascii="Arial" w:eastAsia="Times New Roman" w:hAnsi="Arial" w:cs="Arial"/>
          <w:lang w:val="en-US"/>
        </w:rPr>
        <w:t>he transaction was correctly identified a</w:t>
      </w:r>
      <w:r w:rsidR="00A9694B">
        <w:rPr>
          <w:rFonts w:ascii="Arial" w:eastAsia="Times New Roman" w:hAnsi="Arial" w:cs="Arial"/>
          <w:lang w:val="en-US"/>
        </w:rPr>
        <w:t xml:space="preserve">s irregular expenditure, </w:t>
      </w:r>
      <w:r w:rsidRPr="003021DF">
        <w:rPr>
          <w:rFonts w:ascii="Arial" w:eastAsia="Times New Roman" w:hAnsi="Arial" w:cs="Arial"/>
          <w:lang w:val="en-US"/>
        </w:rPr>
        <w:t>condoned by the Accounting Authority</w:t>
      </w:r>
      <w:r w:rsidR="00A9694B">
        <w:rPr>
          <w:rFonts w:ascii="Arial" w:eastAsia="Times New Roman" w:hAnsi="Arial" w:cs="Arial"/>
          <w:lang w:val="en-US"/>
        </w:rPr>
        <w:t xml:space="preserve"> and </w:t>
      </w:r>
      <w:r w:rsidRPr="003021DF">
        <w:rPr>
          <w:rFonts w:ascii="Arial" w:eastAsia="Times New Roman" w:hAnsi="Arial" w:cs="Arial"/>
          <w:lang w:val="en-US"/>
        </w:rPr>
        <w:t>disclosed in the Annual Financial Statement</w:t>
      </w:r>
      <w:r w:rsidR="006D495F">
        <w:rPr>
          <w:rFonts w:ascii="Arial" w:eastAsia="Times New Roman" w:hAnsi="Arial" w:cs="Arial"/>
          <w:lang w:val="en-US"/>
        </w:rPr>
        <w:t>s</w:t>
      </w:r>
      <w:r w:rsidRPr="003021DF">
        <w:rPr>
          <w:rFonts w:ascii="Arial" w:eastAsia="Times New Roman" w:hAnsi="Arial" w:cs="Arial"/>
          <w:lang w:val="en-US"/>
        </w:rPr>
        <w:t xml:space="preserve"> in line with revised National Treasury guidelines on irregular expenditure. </w:t>
      </w:r>
    </w:p>
    <w:p w:rsidR="009E0EB7" w:rsidRDefault="009E0EB7" w:rsidP="00DD033A">
      <w:pPr>
        <w:numPr>
          <w:ilvl w:val="0"/>
          <w:numId w:val="11"/>
        </w:numPr>
        <w:spacing w:after="0" w:line="360" w:lineRule="auto"/>
        <w:ind w:hanging="357"/>
        <w:jc w:val="both"/>
        <w:outlineLvl w:val="0"/>
        <w:rPr>
          <w:rFonts w:ascii="Arial" w:eastAsia="Times New Roman" w:hAnsi="Arial" w:cs="Arial"/>
          <w:lang w:val="en-US"/>
        </w:rPr>
      </w:pPr>
      <w:r>
        <w:rPr>
          <w:rFonts w:ascii="Arial" w:eastAsia="Times New Roman" w:hAnsi="Arial" w:cs="Arial"/>
          <w:lang w:val="en-US"/>
        </w:rPr>
        <w:t xml:space="preserve">Events Management Services-Sterkspruit Career Exhibition: This </w:t>
      </w:r>
      <w:r w:rsidRPr="003021DF">
        <w:rPr>
          <w:rFonts w:ascii="Arial" w:eastAsia="Times New Roman" w:hAnsi="Arial" w:cs="Arial"/>
          <w:lang w:val="en-US"/>
        </w:rPr>
        <w:t>project did not follow the normal competitive process</w:t>
      </w:r>
      <w:r>
        <w:rPr>
          <w:rFonts w:ascii="Arial" w:eastAsia="Times New Roman" w:hAnsi="Arial" w:cs="Arial"/>
          <w:lang w:val="en-US"/>
        </w:rPr>
        <w:t>es</w:t>
      </w:r>
      <w:r w:rsidRPr="003021DF">
        <w:rPr>
          <w:rFonts w:ascii="Arial" w:eastAsia="Times New Roman" w:hAnsi="Arial" w:cs="Arial"/>
          <w:lang w:val="en-US"/>
        </w:rPr>
        <w:t xml:space="preserve"> of advertising through the Tender Bulletin. Since the SETA was under administration, there was no Accounting Authority to approve its condonation other than the originator of the transaction</w:t>
      </w:r>
      <w:r w:rsidR="00DD033A">
        <w:rPr>
          <w:rFonts w:ascii="Arial" w:eastAsia="Times New Roman" w:hAnsi="Arial" w:cs="Arial"/>
          <w:lang w:val="en-US"/>
        </w:rPr>
        <w:t xml:space="preserve">, i.e. Administrator, </w:t>
      </w:r>
      <w:r w:rsidR="00DD033A" w:rsidRPr="003021DF">
        <w:rPr>
          <w:rFonts w:ascii="Arial" w:eastAsia="Times New Roman" w:hAnsi="Arial" w:cs="Arial"/>
          <w:lang w:val="en-US"/>
        </w:rPr>
        <w:t>which</w:t>
      </w:r>
      <w:r w:rsidRPr="003021DF">
        <w:rPr>
          <w:rFonts w:ascii="Arial" w:eastAsia="Times New Roman" w:hAnsi="Arial" w:cs="Arial"/>
          <w:lang w:val="en-US"/>
        </w:rPr>
        <w:t xml:space="preserve"> performed the role of both the Chairperson and Acco</w:t>
      </w:r>
      <w:r w:rsidR="00DD033A">
        <w:rPr>
          <w:rFonts w:ascii="Arial" w:eastAsia="Times New Roman" w:hAnsi="Arial" w:cs="Arial"/>
          <w:lang w:val="en-US"/>
        </w:rPr>
        <w:t>unting Authority of the SETA. T</w:t>
      </w:r>
      <w:r w:rsidRPr="003021DF">
        <w:rPr>
          <w:rFonts w:ascii="Arial" w:eastAsia="Times New Roman" w:hAnsi="Arial" w:cs="Arial"/>
          <w:lang w:val="en-US"/>
        </w:rPr>
        <w:t xml:space="preserve">he transaction was correctly disclosed in the </w:t>
      </w:r>
      <w:r>
        <w:rPr>
          <w:rFonts w:ascii="Arial" w:eastAsia="Times New Roman" w:hAnsi="Arial" w:cs="Arial"/>
          <w:lang w:val="en-US"/>
        </w:rPr>
        <w:t>Annual Financial Statement</w:t>
      </w:r>
      <w:r w:rsidR="006D495F">
        <w:rPr>
          <w:rFonts w:ascii="Arial" w:eastAsia="Times New Roman" w:hAnsi="Arial" w:cs="Arial"/>
          <w:lang w:val="en-US"/>
        </w:rPr>
        <w:t>s</w:t>
      </w:r>
      <w:r w:rsidRPr="003021DF">
        <w:rPr>
          <w:rFonts w:ascii="Arial" w:eastAsia="Times New Roman" w:hAnsi="Arial" w:cs="Arial"/>
          <w:lang w:val="en-US"/>
        </w:rPr>
        <w:t>.</w:t>
      </w:r>
    </w:p>
    <w:p w:rsidR="00DD033A" w:rsidRPr="003021DF" w:rsidRDefault="009E0EB7" w:rsidP="00DD033A">
      <w:pPr>
        <w:numPr>
          <w:ilvl w:val="0"/>
          <w:numId w:val="11"/>
        </w:numPr>
        <w:spacing w:after="0" w:line="360" w:lineRule="auto"/>
        <w:ind w:hanging="357"/>
        <w:jc w:val="both"/>
        <w:outlineLvl w:val="0"/>
        <w:rPr>
          <w:rFonts w:ascii="Arial" w:eastAsia="Times New Roman" w:hAnsi="Arial" w:cs="Arial"/>
          <w:lang w:val="en-US"/>
        </w:rPr>
      </w:pPr>
      <w:r w:rsidRPr="00DD033A">
        <w:rPr>
          <w:rFonts w:ascii="Arial" w:eastAsia="Times New Roman" w:hAnsi="Arial" w:cs="Arial"/>
          <w:lang w:val="en-US"/>
        </w:rPr>
        <w:t xml:space="preserve">Provision of Project Management Services: Three quotations were not obtained for this transaction on the basis that it was an emergency. </w:t>
      </w:r>
      <w:r w:rsidR="00DD033A">
        <w:rPr>
          <w:rFonts w:ascii="Arial" w:eastAsia="Times New Roman" w:hAnsi="Arial" w:cs="Arial"/>
          <w:lang w:val="en-US"/>
        </w:rPr>
        <w:t>T</w:t>
      </w:r>
      <w:r w:rsidR="00DD033A" w:rsidRPr="003021DF">
        <w:rPr>
          <w:rFonts w:ascii="Arial" w:eastAsia="Times New Roman" w:hAnsi="Arial" w:cs="Arial"/>
          <w:lang w:val="en-US"/>
        </w:rPr>
        <w:t>he transaction was correctly identified a</w:t>
      </w:r>
      <w:r w:rsidR="00DD033A">
        <w:rPr>
          <w:rFonts w:ascii="Arial" w:eastAsia="Times New Roman" w:hAnsi="Arial" w:cs="Arial"/>
          <w:lang w:val="en-US"/>
        </w:rPr>
        <w:t xml:space="preserve">s irregular expenditure, </w:t>
      </w:r>
      <w:r w:rsidR="00DD033A" w:rsidRPr="003021DF">
        <w:rPr>
          <w:rFonts w:ascii="Arial" w:eastAsia="Times New Roman" w:hAnsi="Arial" w:cs="Arial"/>
          <w:lang w:val="en-US"/>
        </w:rPr>
        <w:t>condoned by the Accounting Authority</w:t>
      </w:r>
      <w:r w:rsidR="00DD033A">
        <w:rPr>
          <w:rFonts w:ascii="Arial" w:eastAsia="Times New Roman" w:hAnsi="Arial" w:cs="Arial"/>
          <w:lang w:val="en-US"/>
        </w:rPr>
        <w:t xml:space="preserve"> and </w:t>
      </w:r>
      <w:r w:rsidR="00DD033A" w:rsidRPr="003021DF">
        <w:rPr>
          <w:rFonts w:ascii="Arial" w:eastAsia="Times New Roman" w:hAnsi="Arial" w:cs="Arial"/>
          <w:lang w:val="en-US"/>
        </w:rPr>
        <w:t>disclosed in the Annual Financial Statement</w:t>
      </w:r>
      <w:r w:rsidR="00DD033A">
        <w:rPr>
          <w:rFonts w:ascii="Arial" w:eastAsia="Times New Roman" w:hAnsi="Arial" w:cs="Arial"/>
          <w:lang w:val="en-US"/>
        </w:rPr>
        <w:t>s</w:t>
      </w:r>
      <w:r w:rsidR="00DD033A" w:rsidRPr="003021DF">
        <w:rPr>
          <w:rFonts w:ascii="Arial" w:eastAsia="Times New Roman" w:hAnsi="Arial" w:cs="Arial"/>
          <w:lang w:val="en-US"/>
        </w:rPr>
        <w:t xml:space="preserve"> in line with revised National Treasury guidelines on irregular expenditure. </w:t>
      </w:r>
    </w:p>
    <w:p w:rsidR="003C1AB1" w:rsidRPr="00DD033A" w:rsidRDefault="003C1AB1" w:rsidP="00DD033A">
      <w:pPr>
        <w:spacing w:line="360" w:lineRule="auto"/>
        <w:ind w:left="720"/>
        <w:jc w:val="both"/>
        <w:outlineLvl w:val="0"/>
        <w:rPr>
          <w:rFonts w:ascii="Arial" w:hAnsi="Arial" w:cs="Arial"/>
        </w:rPr>
      </w:pPr>
    </w:p>
    <w:p w:rsidR="003C1AB1" w:rsidRPr="00BB3E0B" w:rsidRDefault="003C1AB1" w:rsidP="00CD33FE">
      <w:pPr>
        <w:spacing w:line="360" w:lineRule="auto"/>
        <w:jc w:val="both"/>
        <w:rPr>
          <w:rFonts w:ascii="Arial" w:hAnsi="Arial" w:cs="Arial"/>
        </w:rPr>
      </w:pPr>
    </w:p>
    <w:p w:rsidR="009A6C99" w:rsidRPr="00BB3E0B" w:rsidRDefault="009A6C99" w:rsidP="00CD33FE">
      <w:pPr>
        <w:spacing w:line="360" w:lineRule="auto"/>
        <w:jc w:val="both"/>
        <w:rPr>
          <w:rFonts w:ascii="Arial" w:hAnsi="Arial" w:cs="Arial"/>
        </w:rPr>
      </w:pPr>
    </w:p>
    <w:p w:rsidR="009A6C99" w:rsidRPr="00BB3E0B" w:rsidRDefault="00BB3E0B" w:rsidP="00BB3E0B">
      <w:pPr>
        <w:spacing w:line="360" w:lineRule="auto"/>
        <w:jc w:val="both"/>
        <w:rPr>
          <w:rFonts w:ascii="Arial" w:hAnsi="Arial" w:cs="Arial"/>
        </w:rPr>
      </w:pPr>
      <w:r>
        <w:rPr>
          <w:rFonts w:ascii="Arial" w:hAnsi="Arial" w:cs="Arial"/>
        </w:rPr>
        <w:br w:type="page"/>
      </w:r>
      <w:r>
        <w:rPr>
          <w:rFonts w:ascii="Arial" w:hAnsi="Arial" w:cs="Arial"/>
        </w:rPr>
        <w:lastRenderedPageBreak/>
        <w:t>Compiler/Contact persons:</w:t>
      </w:r>
      <w:r w:rsidR="009A6C99" w:rsidRPr="00BB3E0B">
        <w:rPr>
          <w:rFonts w:ascii="Arial" w:hAnsi="Arial" w:cs="Arial"/>
        </w:rPr>
        <w:tab/>
      </w:r>
    </w:p>
    <w:p w:rsidR="009A6C99" w:rsidRPr="00BB3E0B" w:rsidRDefault="009A6C99" w:rsidP="009A6C99">
      <w:pPr>
        <w:spacing w:after="0" w:line="360" w:lineRule="auto"/>
        <w:jc w:val="both"/>
        <w:rPr>
          <w:rFonts w:ascii="Arial" w:hAnsi="Arial" w:cs="Arial"/>
        </w:rPr>
      </w:pPr>
      <w:r w:rsidRPr="00BB3E0B">
        <w:rPr>
          <w:rFonts w:ascii="Arial" w:hAnsi="Arial" w:cs="Arial"/>
        </w:rPr>
        <w:t xml:space="preserve">Ext: </w:t>
      </w:r>
    </w:p>
    <w:p w:rsidR="009A6C99" w:rsidRPr="00BB3E0B" w:rsidRDefault="009A6C99" w:rsidP="00D947B4">
      <w:pPr>
        <w:spacing w:line="360" w:lineRule="auto"/>
        <w:jc w:val="both"/>
        <w:rPr>
          <w:rFonts w:ascii="Arial" w:hAnsi="Arial" w:cs="Arial"/>
        </w:rPr>
      </w:pPr>
    </w:p>
    <w:p w:rsidR="00D947B4" w:rsidRPr="00BB3E0B" w:rsidRDefault="00D947B4" w:rsidP="00D947B4">
      <w:pPr>
        <w:spacing w:line="360" w:lineRule="auto"/>
        <w:jc w:val="both"/>
        <w:rPr>
          <w:rFonts w:ascii="Arial" w:hAnsi="Arial" w:cs="Arial"/>
        </w:rPr>
      </w:pPr>
    </w:p>
    <w:p w:rsidR="00D947B4" w:rsidRPr="00BB3E0B" w:rsidRDefault="00D947B4" w:rsidP="00D947B4">
      <w:pPr>
        <w:spacing w:line="360" w:lineRule="auto"/>
        <w:jc w:val="both"/>
        <w:rPr>
          <w:rFonts w:ascii="Arial" w:hAnsi="Arial" w:cs="Arial"/>
        </w:rPr>
      </w:pPr>
    </w:p>
    <w:p w:rsidR="00D947B4" w:rsidRPr="00BB3E0B" w:rsidRDefault="00D947B4" w:rsidP="00D947B4">
      <w:pPr>
        <w:spacing w:line="360" w:lineRule="auto"/>
        <w:jc w:val="both"/>
        <w:rPr>
          <w:rFonts w:ascii="Arial" w:hAnsi="Arial" w:cs="Arial"/>
        </w:rPr>
      </w:pPr>
      <w:r w:rsidRPr="00BB3E0B">
        <w:rPr>
          <w:rFonts w:ascii="Arial" w:hAnsi="Arial" w:cs="Arial"/>
        </w:rPr>
        <w:t>DIRECTOR – GENERAL</w:t>
      </w:r>
    </w:p>
    <w:p w:rsidR="00D947B4" w:rsidRPr="00BB3E0B" w:rsidRDefault="00D947B4" w:rsidP="00D947B4">
      <w:pPr>
        <w:spacing w:line="360" w:lineRule="auto"/>
        <w:jc w:val="both"/>
        <w:rPr>
          <w:rFonts w:ascii="Arial" w:hAnsi="Arial" w:cs="Arial"/>
        </w:rPr>
      </w:pPr>
      <w:r w:rsidRPr="00BB3E0B">
        <w:rPr>
          <w:rFonts w:ascii="Arial" w:hAnsi="Arial" w:cs="Arial"/>
        </w:rPr>
        <w:t>STATUS:</w:t>
      </w:r>
    </w:p>
    <w:p w:rsidR="00D947B4" w:rsidRPr="00BB3E0B" w:rsidRDefault="00D947B4" w:rsidP="00D947B4">
      <w:pPr>
        <w:spacing w:line="360" w:lineRule="auto"/>
        <w:jc w:val="both"/>
        <w:rPr>
          <w:rFonts w:ascii="Arial" w:hAnsi="Arial" w:cs="Arial"/>
        </w:rPr>
      </w:pPr>
      <w:r w:rsidRPr="00BB3E0B">
        <w:rPr>
          <w:rFonts w:ascii="Arial" w:hAnsi="Arial" w:cs="Arial"/>
        </w:rPr>
        <w:t>DATE:</w:t>
      </w:r>
    </w:p>
    <w:p w:rsidR="00D947B4" w:rsidRPr="00BB3E0B" w:rsidRDefault="00D947B4" w:rsidP="00D947B4">
      <w:pPr>
        <w:spacing w:line="360" w:lineRule="auto"/>
        <w:jc w:val="both"/>
        <w:rPr>
          <w:rFonts w:ascii="Arial" w:hAnsi="Arial" w:cs="Arial"/>
        </w:rPr>
      </w:pPr>
    </w:p>
    <w:p w:rsidR="00D947B4" w:rsidRPr="00BB3E0B" w:rsidRDefault="00D947B4" w:rsidP="00D947B4">
      <w:pPr>
        <w:spacing w:line="360" w:lineRule="auto"/>
        <w:jc w:val="both"/>
        <w:rPr>
          <w:rFonts w:ascii="Arial" w:hAnsi="Arial" w:cs="Arial"/>
        </w:rPr>
      </w:pPr>
    </w:p>
    <w:p w:rsidR="00D947B4" w:rsidRPr="00BB3E0B" w:rsidRDefault="00D947B4" w:rsidP="00D947B4">
      <w:pPr>
        <w:spacing w:line="360" w:lineRule="auto"/>
        <w:jc w:val="both"/>
        <w:rPr>
          <w:rFonts w:ascii="Arial" w:hAnsi="Arial" w:cs="Arial"/>
        </w:rPr>
      </w:pPr>
    </w:p>
    <w:p w:rsidR="00D947B4" w:rsidRPr="00BB3E0B" w:rsidRDefault="00D947B4" w:rsidP="00D947B4">
      <w:pPr>
        <w:spacing w:line="360" w:lineRule="auto"/>
        <w:jc w:val="both"/>
        <w:rPr>
          <w:rFonts w:ascii="Arial" w:hAnsi="Arial" w:cs="Arial"/>
        </w:rPr>
      </w:pPr>
    </w:p>
    <w:p w:rsidR="00D947B4" w:rsidRPr="00BB3E0B" w:rsidRDefault="00D947B4" w:rsidP="00D947B4">
      <w:pPr>
        <w:spacing w:line="360" w:lineRule="auto"/>
        <w:jc w:val="both"/>
        <w:rPr>
          <w:rFonts w:ascii="Arial" w:hAnsi="Arial" w:cs="Arial"/>
        </w:rPr>
      </w:pPr>
      <w:r w:rsidRPr="00BB3E0B">
        <w:rPr>
          <w:rFonts w:ascii="Arial" w:hAnsi="Arial" w:cs="Arial"/>
        </w:rPr>
        <w:t xml:space="preserve">REPLY TO QUESTION </w:t>
      </w:r>
      <w:r w:rsidR="00D03807" w:rsidRPr="00BB3E0B">
        <w:rPr>
          <w:rFonts w:ascii="Arial" w:hAnsi="Arial" w:cs="Arial"/>
        </w:rPr>
        <w:t>3</w:t>
      </w:r>
      <w:r w:rsidR="00082F98" w:rsidRPr="00BB3E0B">
        <w:rPr>
          <w:rFonts w:ascii="Arial" w:hAnsi="Arial" w:cs="Arial"/>
        </w:rPr>
        <w:t>8</w:t>
      </w:r>
      <w:r w:rsidR="00E95DDE" w:rsidRPr="00BB3E0B">
        <w:rPr>
          <w:rFonts w:ascii="Arial" w:hAnsi="Arial" w:cs="Arial"/>
        </w:rPr>
        <w:t>20</w:t>
      </w:r>
      <w:r w:rsidRPr="00BB3E0B">
        <w:rPr>
          <w:rFonts w:ascii="Arial" w:hAnsi="Arial" w:cs="Arial"/>
        </w:rPr>
        <w:t xml:space="preserve"> APPROVED/NOT APPROVED/AMENDED </w:t>
      </w:r>
    </w:p>
    <w:p w:rsidR="00D947B4" w:rsidRPr="00BB3E0B" w:rsidRDefault="00D947B4" w:rsidP="00D947B4">
      <w:pPr>
        <w:spacing w:line="360" w:lineRule="auto"/>
        <w:jc w:val="both"/>
        <w:rPr>
          <w:rFonts w:ascii="Arial" w:hAnsi="Arial" w:cs="Arial"/>
        </w:rPr>
      </w:pPr>
    </w:p>
    <w:p w:rsidR="00D947B4" w:rsidRPr="00BB3E0B" w:rsidRDefault="00D947B4" w:rsidP="00D947B4">
      <w:pPr>
        <w:spacing w:line="360" w:lineRule="auto"/>
        <w:jc w:val="both"/>
        <w:rPr>
          <w:rFonts w:ascii="Arial" w:hAnsi="Arial" w:cs="Arial"/>
        </w:rPr>
      </w:pPr>
    </w:p>
    <w:p w:rsidR="00D947B4" w:rsidRPr="00BB3E0B" w:rsidRDefault="00D947B4" w:rsidP="00D947B4">
      <w:pPr>
        <w:spacing w:line="360" w:lineRule="auto"/>
        <w:jc w:val="both"/>
        <w:rPr>
          <w:rFonts w:ascii="Arial" w:hAnsi="Arial" w:cs="Arial"/>
        </w:rPr>
      </w:pPr>
    </w:p>
    <w:p w:rsidR="00D947B4" w:rsidRPr="00BB3E0B" w:rsidRDefault="00D947B4" w:rsidP="00D947B4">
      <w:pPr>
        <w:spacing w:line="360" w:lineRule="auto"/>
        <w:jc w:val="both"/>
        <w:rPr>
          <w:rFonts w:ascii="Arial" w:hAnsi="Arial" w:cs="Arial"/>
        </w:rPr>
      </w:pPr>
    </w:p>
    <w:p w:rsidR="00D947B4" w:rsidRPr="00BB3E0B" w:rsidRDefault="00D947B4" w:rsidP="00D947B4">
      <w:pPr>
        <w:spacing w:line="360" w:lineRule="auto"/>
        <w:jc w:val="both"/>
        <w:rPr>
          <w:rFonts w:ascii="Arial" w:hAnsi="Arial" w:cs="Arial"/>
        </w:rPr>
      </w:pPr>
    </w:p>
    <w:p w:rsidR="00D947B4" w:rsidRPr="00BB3E0B" w:rsidRDefault="00D947B4" w:rsidP="00D947B4">
      <w:pPr>
        <w:spacing w:line="360" w:lineRule="auto"/>
        <w:jc w:val="both"/>
        <w:rPr>
          <w:rFonts w:ascii="Arial" w:hAnsi="Arial" w:cs="Arial"/>
        </w:rPr>
      </w:pPr>
      <w:r w:rsidRPr="00BB3E0B">
        <w:rPr>
          <w:rFonts w:ascii="Arial" w:hAnsi="Arial" w:cs="Arial"/>
        </w:rPr>
        <w:t>Dr B</w:t>
      </w:r>
      <w:r w:rsidR="006D495F">
        <w:rPr>
          <w:rFonts w:ascii="Arial" w:hAnsi="Arial" w:cs="Arial"/>
        </w:rPr>
        <w:t>E</w:t>
      </w:r>
      <w:r w:rsidRPr="00BB3E0B">
        <w:rPr>
          <w:rFonts w:ascii="Arial" w:hAnsi="Arial" w:cs="Arial"/>
        </w:rPr>
        <w:t xml:space="preserve"> NZIMANDE, MP</w:t>
      </w:r>
    </w:p>
    <w:p w:rsidR="00D947B4" w:rsidRPr="00BB3E0B" w:rsidRDefault="00D947B4" w:rsidP="00D947B4">
      <w:pPr>
        <w:spacing w:line="360" w:lineRule="auto"/>
        <w:jc w:val="both"/>
        <w:rPr>
          <w:rFonts w:ascii="Arial" w:hAnsi="Arial" w:cs="Arial"/>
        </w:rPr>
      </w:pPr>
      <w:r w:rsidRPr="00BB3E0B">
        <w:rPr>
          <w:rFonts w:ascii="Arial" w:hAnsi="Arial" w:cs="Arial"/>
        </w:rPr>
        <w:t>MINISTER OF HIGHER EDUCATION AND TRAINING</w:t>
      </w:r>
    </w:p>
    <w:p w:rsidR="00D947B4" w:rsidRPr="00BB3E0B" w:rsidRDefault="00D947B4" w:rsidP="00D947B4">
      <w:pPr>
        <w:spacing w:line="360" w:lineRule="auto"/>
        <w:jc w:val="both"/>
        <w:rPr>
          <w:rFonts w:ascii="Arial" w:hAnsi="Arial" w:cs="Arial"/>
        </w:rPr>
      </w:pPr>
      <w:r w:rsidRPr="00BB3E0B">
        <w:rPr>
          <w:rFonts w:ascii="Arial" w:hAnsi="Arial" w:cs="Arial"/>
        </w:rPr>
        <w:t>STATUS:</w:t>
      </w:r>
    </w:p>
    <w:p w:rsidR="00C3677B" w:rsidRPr="00D947B4" w:rsidRDefault="00D947B4" w:rsidP="00D947B4">
      <w:pPr>
        <w:spacing w:line="360" w:lineRule="auto"/>
        <w:jc w:val="both"/>
        <w:rPr>
          <w:rFonts w:ascii="Arial" w:hAnsi="Arial" w:cs="Arial"/>
        </w:rPr>
      </w:pPr>
      <w:r w:rsidRPr="00BB3E0B">
        <w:rPr>
          <w:rFonts w:ascii="Arial" w:hAnsi="Arial" w:cs="Arial"/>
        </w:rPr>
        <w:t>DATE:</w:t>
      </w:r>
    </w:p>
    <w:sectPr w:rsidR="00C3677B" w:rsidRPr="00D947B4"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98A"/>
    <w:multiLevelType w:val="hybridMultilevel"/>
    <w:tmpl w:val="DF206FF6"/>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5344FD8"/>
    <w:multiLevelType w:val="hybridMultilevel"/>
    <w:tmpl w:val="0FAA44F0"/>
    <w:lvl w:ilvl="0" w:tplc="1EC24EC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6796D0E"/>
    <w:multiLevelType w:val="hybridMultilevel"/>
    <w:tmpl w:val="077A4B6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82B077A"/>
    <w:multiLevelType w:val="hybridMultilevel"/>
    <w:tmpl w:val="19BC7F7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311397"/>
    <w:multiLevelType w:val="hybridMultilevel"/>
    <w:tmpl w:val="5698669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78F250B"/>
    <w:multiLevelType w:val="hybridMultilevel"/>
    <w:tmpl w:val="8F8C7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A3E273C"/>
    <w:multiLevelType w:val="hybridMultilevel"/>
    <w:tmpl w:val="8340B1D2"/>
    <w:lvl w:ilvl="0" w:tplc="36442F92">
      <w:start w:val="1"/>
      <w:numFmt w:val="lowerLetter"/>
      <w:lvlText w:val="%1)"/>
      <w:lvlJc w:val="left"/>
      <w:pPr>
        <w:ind w:left="720" w:hanging="360"/>
      </w:pPr>
      <w:rPr>
        <w:rFonts w:eastAsia="Calibri"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3D056EA"/>
    <w:multiLevelType w:val="hybridMultilevel"/>
    <w:tmpl w:val="410E1EF8"/>
    <w:lvl w:ilvl="0" w:tplc="E098CA9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5D87D03"/>
    <w:multiLevelType w:val="hybridMultilevel"/>
    <w:tmpl w:val="AD4230F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579E7F2E"/>
    <w:multiLevelType w:val="hybridMultilevel"/>
    <w:tmpl w:val="D354B3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60DA5F05"/>
    <w:multiLevelType w:val="hybridMultilevel"/>
    <w:tmpl w:val="5698669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0"/>
  </w:num>
  <w:num w:numId="3">
    <w:abstractNumId w:val="8"/>
  </w:num>
  <w:num w:numId="4">
    <w:abstractNumId w:val="6"/>
  </w:num>
  <w:num w:numId="5">
    <w:abstractNumId w:val="3"/>
  </w:num>
  <w:num w:numId="6">
    <w:abstractNumId w:val="1"/>
  </w:num>
  <w:num w:numId="7">
    <w:abstractNumId w:val="2"/>
  </w:num>
  <w:num w:numId="8">
    <w:abstractNumId w:val="9"/>
  </w:num>
  <w:num w:numId="9">
    <w:abstractNumId w:val="4"/>
  </w:num>
  <w:num w:numId="10">
    <w:abstractNumId w:val="10"/>
  </w:num>
  <w:num w:numId="1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2580"/>
    <w:rsid w:val="0002430B"/>
    <w:rsid w:val="000260DC"/>
    <w:rsid w:val="000262F1"/>
    <w:rsid w:val="00032AB5"/>
    <w:rsid w:val="000366C7"/>
    <w:rsid w:val="00041F99"/>
    <w:rsid w:val="00044DB1"/>
    <w:rsid w:val="0004638A"/>
    <w:rsid w:val="0004639E"/>
    <w:rsid w:val="00052871"/>
    <w:rsid w:val="000554F0"/>
    <w:rsid w:val="0005620C"/>
    <w:rsid w:val="00056C56"/>
    <w:rsid w:val="000579B9"/>
    <w:rsid w:val="00057F75"/>
    <w:rsid w:val="00060888"/>
    <w:rsid w:val="0006118B"/>
    <w:rsid w:val="00063A3A"/>
    <w:rsid w:val="00067831"/>
    <w:rsid w:val="00075314"/>
    <w:rsid w:val="00076E40"/>
    <w:rsid w:val="00082F98"/>
    <w:rsid w:val="00087811"/>
    <w:rsid w:val="00096A3C"/>
    <w:rsid w:val="000A02C9"/>
    <w:rsid w:val="000A0D33"/>
    <w:rsid w:val="000A450F"/>
    <w:rsid w:val="000B3E84"/>
    <w:rsid w:val="000B7F3D"/>
    <w:rsid w:val="000C36AD"/>
    <w:rsid w:val="000C459D"/>
    <w:rsid w:val="000E1F30"/>
    <w:rsid w:val="000F2633"/>
    <w:rsid w:val="00102241"/>
    <w:rsid w:val="0010402E"/>
    <w:rsid w:val="00106543"/>
    <w:rsid w:val="0010795D"/>
    <w:rsid w:val="00125282"/>
    <w:rsid w:val="001256E4"/>
    <w:rsid w:val="00135E62"/>
    <w:rsid w:val="001447C9"/>
    <w:rsid w:val="00147BA4"/>
    <w:rsid w:val="0015436C"/>
    <w:rsid w:val="00170B70"/>
    <w:rsid w:val="00176498"/>
    <w:rsid w:val="00185818"/>
    <w:rsid w:val="00191755"/>
    <w:rsid w:val="00194585"/>
    <w:rsid w:val="001A01DC"/>
    <w:rsid w:val="001A0291"/>
    <w:rsid w:val="001A1252"/>
    <w:rsid w:val="001A277A"/>
    <w:rsid w:val="001C218E"/>
    <w:rsid w:val="001C33B5"/>
    <w:rsid w:val="001C6A3B"/>
    <w:rsid w:val="001D6705"/>
    <w:rsid w:val="001D7C6A"/>
    <w:rsid w:val="001E0D43"/>
    <w:rsid w:val="001E299D"/>
    <w:rsid w:val="001E36DF"/>
    <w:rsid w:val="001F4B7D"/>
    <w:rsid w:val="001F7245"/>
    <w:rsid w:val="0020104F"/>
    <w:rsid w:val="00205133"/>
    <w:rsid w:val="0020779F"/>
    <w:rsid w:val="00217678"/>
    <w:rsid w:val="0022185C"/>
    <w:rsid w:val="002264C4"/>
    <w:rsid w:val="00245A6B"/>
    <w:rsid w:val="002476A9"/>
    <w:rsid w:val="00256281"/>
    <w:rsid w:val="002573E5"/>
    <w:rsid w:val="00264295"/>
    <w:rsid w:val="002657C5"/>
    <w:rsid w:val="00265A26"/>
    <w:rsid w:val="00265A88"/>
    <w:rsid w:val="002670F8"/>
    <w:rsid w:val="00270825"/>
    <w:rsid w:val="00272426"/>
    <w:rsid w:val="00293E0F"/>
    <w:rsid w:val="0029445D"/>
    <w:rsid w:val="002A17B0"/>
    <w:rsid w:val="002A2F73"/>
    <w:rsid w:val="002A434A"/>
    <w:rsid w:val="002A7DF4"/>
    <w:rsid w:val="002B76D2"/>
    <w:rsid w:val="002C16FF"/>
    <w:rsid w:val="002C60A6"/>
    <w:rsid w:val="002C6CA2"/>
    <w:rsid w:val="002D16BA"/>
    <w:rsid w:val="002D188A"/>
    <w:rsid w:val="002E3161"/>
    <w:rsid w:val="002F4DC9"/>
    <w:rsid w:val="002F6B49"/>
    <w:rsid w:val="00300C93"/>
    <w:rsid w:val="003021DF"/>
    <w:rsid w:val="00302397"/>
    <w:rsid w:val="00305BF7"/>
    <w:rsid w:val="0031249C"/>
    <w:rsid w:val="00313A4B"/>
    <w:rsid w:val="00315B13"/>
    <w:rsid w:val="00341B37"/>
    <w:rsid w:val="00344509"/>
    <w:rsid w:val="00350615"/>
    <w:rsid w:val="003517A1"/>
    <w:rsid w:val="00351E0F"/>
    <w:rsid w:val="00356741"/>
    <w:rsid w:val="0035694A"/>
    <w:rsid w:val="00361776"/>
    <w:rsid w:val="0036376B"/>
    <w:rsid w:val="00370607"/>
    <w:rsid w:val="00371BAE"/>
    <w:rsid w:val="0037732E"/>
    <w:rsid w:val="003963E3"/>
    <w:rsid w:val="003A40A1"/>
    <w:rsid w:val="003A49C3"/>
    <w:rsid w:val="003A725E"/>
    <w:rsid w:val="003A7BFD"/>
    <w:rsid w:val="003B0F2D"/>
    <w:rsid w:val="003B48F6"/>
    <w:rsid w:val="003B68BD"/>
    <w:rsid w:val="003B70CB"/>
    <w:rsid w:val="003C18DB"/>
    <w:rsid w:val="003C1AB1"/>
    <w:rsid w:val="003C5A76"/>
    <w:rsid w:val="003D5AE8"/>
    <w:rsid w:val="003D6F6C"/>
    <w:rsid w:val="003D7858"/>
    <w:rsid w:val="003D790C"/>
    <w:rsid w:val="003E033B"/>
    <w:rsid w:val="003E2F70"/>
    <w:rsid w:val="003E455E"/>
    <w:rsid w:val="003E694C"/>
    <w:rsid w:val="003E7D96"/>
    <w:rsid w:val="003F735C"/>
    <w:rsid w:val="0040090A"/>
    <w:rsid w:val="00410478"/>
    <w:rsid w:val="00410B43"/>
    <w:rsid w:val="004170C3"/>
    <w:rsid w:val="0041718E"/>
    <w:rsid w:val="00417FD5"/>
    <w:rsid w:val="00422B30"/>
    <w:rsid w:val="004312FC"/>
    <w:rsid w:val="0043279D"/>
    <w:rsid w:val="00437C1E"/>
    <w:rsid w:val="004457FC"/>
    <w:rsid w:val="00457688"/>
    <w:rsid w:val="00463025"/>
    <w:rsid w:val="004672ED"/>
    <w:rsid w:val="00467DFA"/>
    <w:rsid w:val="00472F32"/>
    <w:rsid w:val="004778C4"/>
    <w:rsid w:val="004800DC"/>
    <w:rsid w:val="00492A36"/>
    <w:rsid w:val="004944AF"/>
    <w:rsid w:val="004965B4"/>
    <w:rsid w:val="004A7272"/>
    <w:rsid w:val="004B7E13"/>
    <w:rsid w:val="004C4F38"/>
    <w:rsid w:val="004D1EB9"/>
    <w:rsid w:val="004D2BE1"/>
    <w:rsid w:val="004D74FD"/>
    <w:rsid w:val="004E0458"/>
    <w:rsid w:val="004E425D"/>
    <w:rsid w:val="004F47FF"/>
    <w:rsid w:val="004F63FE"/>
    <w:rsid w:val="00504B93"/>
    <w:rsid w:val="00505475"/>
    <w:rsid w:val="00506E45"/>
    <w:rsid w:val="005127E5"/>
    <w:rsid w:val="00512DD2"/>
    <w:rsid w:val="00514BF3"/>
    <w:rsid w:val="005223B8"/>
    <w:rsid w:val="005237E8"/>
    <w:rsid w:val="00532185"/>
    <w:rsid w:val="00537D64"/>
    <w:rsid w:val="00543274"/>
    <w:rsid w:val="00544F68"/>
    <w:rsid w:val="005519DC"/>
    <w:rsid w:val="00552E00"/>
    <w:rsid w:val="005577D9"/>
    <w:rsid w:val="00561493"/>
    <w:rsid w:val="005705D4"/>
    <w:rsid w:val="00571740"/>
    <w:rsid w:val="00574DBC"/>
    <w:rsid w:val="00585D0E"/>
    <w:rsid w:val="00591E50"/>
    <w:rsid w:val="005A660C"/>
    <w:rsid w:val="005A7D55"/>
    <w:rsid w:val="005B35DA"/>
    <w:rsid w:val="005B4004"/>
    <w:rsid w:val="005B696E"/>
    <w:rsid w:val="005C0BA4"/>
    <w:rsid w:val="005C2051"/>
    <w:rsid w:val="005C4278"/>
    <w:rsid w:val="005C5AE9"/>
    <w:rsid w:val="005C6ED1"/>
    <w:rsid w:val="005C77F3"/>
    <w:rsid w:val="005D0DA9"/>
    <w:rsid w:val="005E120E"/>
    <w:rsid w:val="005E301A"/>
    <w:rsid w:val="005F02F9"/>
    <w:rsid w:val="00602765"/>
    <w:rsid w:val="006034E7"/>
    <w:rsid w:val="00603DA5"/>
    <w:rsid w:val="006059AD"/>
    <w:rsid w:val="00605BFA"/>
    <w:rsid w:val="00613250"/>
    <w:rsid w:val="00620EFD"/>
    <w:rsid w:val="00621FE9"/>
    <w:rsid w:val="0063048F"/>
    <w:rsid w:val="006318D6"/>
    <w:rsid w:val="00632EDF"/>
    <w:rsid w:val="00633FC2"/>
    <w:rsid w:val="00646962"/>
    <w:rsid w:val="00653C00"/>
    <w:rsid w:val="006552F7"/>
    <w:rsid w:val="0065728F"/>
    <w:rsid w:val="006630FB"/>
    <w:rsid w:val="006639B1"/>
    <w:rsid w:val="00666508"/>
    <w:rsid w:val="00667ADE"/>
    <w:rsid w:val="00680464"/>
    <w:rsid w:val="0068734A"/>
    <w:rsid w:val="006913D9"/>
    <w:rsid w:val="00693055"/>
    <w:rsid w:val="006944DE"/>
    <w:rsid w:val="006953C8"/>
    <w:rsid w:val="006965DC"/>
    <w:rsid w:val="006A47E0"/>
    <w:rsid w:val="006A5774"/>
    <w:rsid w:val="006A5D9D"/>
    <w:rsid w:val="006B438D"/>
    <w:rsid w:val="006B5024"/>
    <w:rsid w:val="006B6BC7"/>
    <w:rsid w:val="006C56E1"/>
    <w:rsid w:val="006C5827"/>
    <w:rsid w:val="006D13C6"/>
    <w:rsid w:val="006D495F"/>
    <w:rsid w:val="006E3002"/>
    <w:rsid w:val="006E3244"/>
    <w:rsid w:val="006E7C33"/>
    <w:rsid w:val="006E7CF5"/>
    <w:rsid w:val="006F63E0"/>
    <w:rsid w:val="006F6BF5"/>
    <w:rsid w:val="0070084E"/>
    <w:rsid w:val="00702601"/>
    <w:rsid w:val="00702868"/>
    <w:rsid w:val="00702F9A"/>
    <w:rsid w:val="00707E92"/>
    <w:rsid w:val="007141FA"/>
    <w:rsid w:val="00714E5D"/>
    <w:rsid w:val="00714E82"/>
    <w:rsid w:val="0071591A"/>
    <w:rsid w:val="00716487"/>
    <w:rsid w:val="007234AD"/>
    <w:rsid w:val="007274D6"/>
    <w:rsid w:val="007320B0"/>
    <w:rsid w:val="0073483F"/>
    <w:rsid w:val="00736643"/>
    <w:rsid w:val="00740B88"/>
    <w:rsid w:val="007451D5"/>
    <w:rsid w:val="007468B1"/>
    <w:rsid w:val="0075414E"/>
    <w:rsid w:val="00763A07"/>
    <w:rsid w:val="00766ABE"/>
    <w:rsid w:val="00766ADD"/>
    <w:rsid w:val="00770DA0"/>
    <w:rsid w:val="00774852"/>
    <w:rsid w:val="007775FD"/>
    <w:rsid w:val="0078107E"/>
    <w:rsid w:val="007810CD"/>
    <w:rsid w:val="00792A83"/>
    <w:rsid w:val="00795FF3"/>
    <w:rsid w:val="007A29F4"/>
    <w:rsid w:val="007A50A6"/>
    <w:rsid w:val="007B3523"/>
    <w:rsid w:val="007B4860"/>
    <w:rsid w:val="007C6EC3"/>
    <w:rsid w:val="007C7109"/>
    <w:rsid w:val="007D7318"/>
    <w:rsid w:val="007E26C5"/>
    <w:rsid w:val="007E5CF9"/>
    <w:rsid w:val="007E667A"/>
    <w:rsid w:val="007F2ADC"/>
    <w:rsid w:val="007F2D57"/>
    <w:rsid w:val="007F6462"/>
    <w:rsid w:val="007F7092"/>
    <w:rsid w:val="007F7F6F"/>
    <w:rsid w:val="0080663F"/>
    <w:rsid w:val="00807715"/>
    <w:rsid w:val="00810FD4"/>
    <w:rsid w:val="00812391"/>
    <w:rsid w:val="008139BE"/>
    <w:rsid w:val="00814FBE"/>
    <w:rsid w:val="0083618E"/>
    <w:rsid w:val="00844BF0"/>
    <w:rsid w:val="008455F2"/>
    <w:rsid w:val="00847506"/>
    <w:rsid w:val="00857AAF"/>
    <w:rsid w:val="00874346"/>
    <w:rsid w:val="00884691"/>
    <w:rsid w:val="0088522F"/>
    <w:rsid w:val="00885BE0"/>
    <w:rsid w:val="008950F7"/>
    <w:rsid w:val="008A0CFC"/>
    <w:rsid w:val="008A3900"/>
    <w:rsid w:val="008A5D41"/>
    <w:rsid w:val="008A666F"/>
    <w:rsid w:val="008A7C6E"/>
    <w:rsid w:val="008B65EA"/>
    <w:rsid w:val="008C1D05"/>
    <w:rsid w:val="008C68C5"/>
    <w:rsid w:val="008C7B8D"/>
    <w:rsid w:val="008D223E"/>
    <w:rsid w:val="008D633E"/>
    <w:rsid w:val="008D739A"/>
    <w:rsid w:val="008D7ECD"/>
    <w:rsid w:val="008E29A8"/>
    <w:rsid w:val="008F4155"/>
    <w:rsid w:val="00901D6D"/>
    <w:rsid w:val="009042F3"/>
    <w:rsid w:val="00906DE8"/>
    <w:rsid w:val="00907B99"/>
    <w:rsid w:val="0091448C"/>
    <w:rsid w:val="00914499"/>
    <w:rsid w:val="00925943"/>
    <w:rsid w:val="00933AC1"/>
    <w:rsid w:val="00933C19"/>
    <w:rsid w:val="0093534E"/>
    <w:rsid w:val="00945E7B"/>
    <w:rsid w:val="00946B78"/>
    <w:rsid w:val="00947DCF"/>
    <w:rsid w:val="0095081D"/>
    <w:rsid w:val="009548B8"/>
    <w:rsid w:val="00962A23"/>
    <w:rsid w:val="00963DA4"/>
    <w:rsid w:val="009640F5"/>
    <w:rsid w:val="009642B8"/>
    <w:rsid w:val="009754EB"/>
    <w:rsid w:val="00975564"/>
    <w:rsid w:val="0097701D"/>
    <w:rsid w:val="0098129F"/>
    <w:rsid w:val="009849D9"/>
    <w:rsid w:val="009954C4"/>
    <w:rsid w:val="00995E78"/>
    <w:rsid w:val="009A0102"/>
    <w:rsid w:val="009A0326"/>
    <w:rsid w:val="009A0F27"/>
    <w:rsid w:val="009A2766"/>
    <w:rsid w:val="009A4385"/>
    <w:rsid w:val="009A5EA3"/>
    <w:rsid w:val="009A6C99"/>
    <w:rsid w:val="009B0E09"/>
    <w:rsid w:val="009B4065"/>
    <w:rsid w:val="009B4543"/>
    <w:rsid w:val="009C1C15"/>
    <w:rsid w:val="009C4DFB"/>
    <w:rsid w:val="009C54F4"/>
    <w:rsid w:val="009D010F"/>
    <w:rsid w:val="009D3C33"/>
    <w:rsid w:val="009D3C62"/>
    <w:rsid w:val="009E0EB7"/>
    <w:rsid w:val="009E5B1D"/>
    <w:rsid w:val="009F072D"/>
    <w:rsid w:val="009F3FAA"/>
    <w:rsid w:val="009F5D4E"/>
    <w:rsid w:val="009F6FEA"/>
    <w:rsid w:val="00A009CF"/>
    <w:rsid w:val="00A0228E"/>
    <w:rsid w:val="00A03F44"/>
    <w:rsid w:val="00A11E8A"/>
    <w:rsid w:val="00A173E2"/>
    <w:rsid w:val="00A237EC"/>
    <w:rsid w:val="00A26107"/>
    <w:rsid w:val="00A353C3"/>
    <w:rsid w:val="00A355F9"/>
    <w:rsid w:val="00A37101"/>
    <w:rsid w:val="00A44ACB"/>
    <w:rsid w:val="00A45E21"/>
    <w:rsid w:val="00A51526"/>
    <w:rsid w:val="00A54620"/>
    <w:rsid w:val="00A734D6"/>
    <w:rsid w:val="00A8120A"/>
    <w:rsid w:val="00A9281E"/>
    <w:rsid w:val="00A9633F"/>
    <w:rsid w:val="00A9694B"/>
    <w:rsid w:val="00AA246C"/>
    <w:rsid w:val="00AA3944"/>
    <w:rsid w:val="00AA4CD8"/>
    <w:rsid w:val="00AB0621"/>
    <w:rsid w:val="00AB143C"/>
    <w:rsid w:val="00AB6A8A"/>
    <w:rsid w:val="00AB78CF"/>
    <w:rsid w:val="00AC5238"/>
    <w:rsid w:val="00AE0682"/>
    <w:rsid w:val="00AE3241"/>
    <w:rsid w:val="00AE42CB"/>
    <w:rsid w:val="00AE767D"/>
    <w:rsid w:val="00B06FCC"/>
    <w:rsid w:val="00B122E9"/>
    <w:rsid w:val="00B12389"/>
    <w:rsid w:val="00B13598"/>
    <w:rsid w:val="00B15F71"/>
    <w:rsid w:val="00B16C29"/>
    <w:rsid w:val="00B223C9"/>
    <w:rsid w:val="00B32FD8"/>
    <w:rsid w:val="00B4178D"/>
    <w:rsid w:val="00B42D63"/>
    <w:rsid w:val="00B43DD3"/>
    <w:rsid w:val="00B56803"/>
    <w:rsid w:val="00B757E2"/>
    <w:rsid w:val="00B8067B"/>
    <w:rsid w:val="00B8505E"/>
    <w:rsid w:val="00B86C98"/>
    <w:rsid w:val="00B9731E"/>
    <w:rsid w:val="00BB1AFD"/>
    <w:rsid w:val="00BB3E0B"/>
    <w:rsid w:val="00BB5579"/>
    <w:rsid w:val="00BC6170"/>
    <w:rsid w:val="00BD032F"/>
    <w:rsid w:val="00BE013F"/>
    <w:rsid w:val="00BE0511"/>
    <w:rsid w:val="00BE1AAF"/>
    <w:rsid w:val="00BE2524"/>
    <w:rsid w:val="00C04BE1"/>
    <w:rsid w:val="00C07223"/>
    <w:rsid w:val="00C14189"/>
    <w:rsid w:val="00C1516F"/>
    <w:rsid w:val="00C2121C"/>
    <w:rsid w:val="00C312F3"/>
    <w:rsid w:val="00C31C40"/>
    <w:rsid w:val="00C33F85"/>
    <w:rsid w:val="00C357BA"/>
    <w:rsid w:val="00C3677B"/>
    <w:rsid w:val="00C42323"/>
    <w:rsid w:val="00C441E6"/>
    <w:rsid w:val="00C50064"/>
    <w:rsid w:val="00C5065C"/>
    <w:rsid w:val="00C5638F"/>
    <w:rsid w:val="00C56F3A"/>
    <w:rsid w:val="00C5785E"/>
    <w:rsid w:val="00C62B07"/>
    <w:rsid w:val="00C654A2"/>
    <w:rsid w:val="00C670E6"/>
    <w:rsid w:val="00C70C43"/>
    <w:rsid w:val="00C72AC2"/>
    <w:rsid w:val="00C73D89"/>
    <w:rsid w:val="00C811DC"/>
    <w:rsid w:val="00C8148B"/>
    <w:rsid w:val="00C82A4E"/>
    <w:rsid w:val="00C865AF"/>
    <w:rsid w:val="00C8668A"/>
    <w:rsid w:val="00C919FD"/>
    <w:rsid w:val="00C939F0"/>
    <w:rsid w:val="00C9549B"/>
    <w:rsid w:val="00CA1F30"/>
    <w:rsid w:val="00CA36FC"/>
    <w:rsid w:val="00CB4850"/>
    <w:rsid w:val="00CB4DE4"/>
    <w:rsid w:val="00CB5B44"/>
    <w:rsid w:val="00CB7E12"/>
    <w:rsid w:val="00CB7FE9"/>
    <w:rsid w:val="00CC0150"/>
    <w:rsid w:val="00CC27E4"/>
    <w:rsid w:val="00CC53DC"/>
    <w:rsid w:val="00CD1B97"/>
    <w:rsid w:val="00CD33FE"/>
    <w:rsid w:val="00CD54F4"/>
    <w:rsid w:val="00CE5D13"/>
    <w:rsid w:val="00CF0B4E"/>
    <w:rsid w:val="00D00C74"/>
    <w:rsid w:val="00D03807"/>
    <w:rsid w:val="00D038BF"/>
    <w:rsid w:val="00D066CD"/>
    <w:rsid w:val="00D104BB"/>
    <w:rsid w:val="00D114C4"/>
    <w:rsid w:val="00D167B0"/>
    <w:rsid w:val="00D23BBE"/>
    <w:rsid w:val="00D27EF0"/>
    <w:rsid w:val="00D322D6"/>
    <w:rsid w:val="00D376A7"/>
    <w:rsid w:val="00D42740"/>
    <w:rsid w:val="00D51F05"/>
    <w:rsid w:val="00D60616"/>
    <w:rsid w:val="00D61172"/>
    <w:rsid w:val="00D61F16"/>
    <w:rsid w:val="00D62110"/>
    <w:rsid w:val="00D63390"/>
    <w:rsid w:val="00D6369F"/>
    <w:rsid w:val="00D65A88"/>
    <w:rsid w:val="00D65D79"/>
    <w:rsid w:val="00D847C6"/>
    <w:rsid w:val="00D8677C"/>
    <w:rsid w:val="00D87030"/>
    <w:rsid w:val="00D947B4"/>
    <w:rsid w:val="00D95878"/>
    <w:rsid w:val="00DA24DA"/>
    <w:rsid w:val="00DA58E0"/>
    <w:rsid w:val="00DA5917"/>
    <w:rsid w:val="00DB0A5E"/>
    <w:rsid w:val="00DB45A7"/>
    <w:rsid w:val="00DB497C"/>
    <w:rsid w:val="00DB7628"/>
    <w:rsid w:val="00DC256F"/>
    <w:rsid w:val="00DC298B"/>
    <w:rsid w:val="00DC2A7E"/>
    <w:rsid w:val="00DC573F"/>
    <w:rsid w:val="00DD033A"/>
    <w:rsid w:val="00DD6D16"/>
    <w:rsid w:val="00DE6294"/>
    <w:rsid w:val="00DE6F6F"/>
    <w:rsid w:val="00DF79B9"/>
    <w:rsid w:val="00E02103"/>
    <w:rsid w:val="00E034D3"/>
    <w:rsid w:val="00E103E5"/>
    <w:rsid w:val="00E360EA"/>
    <w:rsid w:val="00E41378"/>
    <w:rsid w:val="00E4274D"/>
    <w:rsid w:val="00E4584B"/>
    <w:rsid w:val="00E46EC8"/>
    <w:rsid w:val="00E50360"/>
    <w:rsid w:val="00E515C8"/>
    <w:rsid w:val="00E55471"/>
    <w:rsid w:val="00E601E4"/>
    <w:rsid w:val="00E67736"/>
    <w:rsid w:val="00E70323"/>
    <w:rsid w:val="00E71E03"/>
    <w:rsid w:val="00E730D5"/>
    <w:rsid w:val="00E73AA7"/>
    <w:rsid w:val="00E84848"/>
    <w:rsid w:val="00E84B37"/>
    <w:rsid w:val="00E91847"/>
    <w:rsid w:val="00E95DDE"/>
    <w:rsid w:val="00EA2661"/>
    <w:rsid w:val="00EA2B3A"/>
    <w:rsid w:val="00EB1F29"/>
    <w:rsid w:val="00EC0BF2"/>
    <w:rsid w:val="00EC6E65"/>
    <w:rsid w:val="00ED51A1"/>
    <w:rsid w:val="00ED5B34"/>
    <w:rsid w:val="00ED5C53"/>
    <w:rsid w:val="00EE020F"/>
    <w:rsid w:val="00EE0B7C"/>
    <w:rsid w:val="00EE5055"/>
    <w:rsid w:val="00EE60BC"/>
    <w:rsid w:val="00EE711F"/>
    <w:rsid w:val="00EF28BA"/>
    <w:rsid w:val="00EF63E0"/>
    <w:rsid w:val="00EF642C"/>
    <w:rsid w:val="00F04C73"/>
    <w:rsid w:val="00F077DE"/>
    <w:rsid w:val="00F125DD"/>
    <w:rsid w:val="00F274C0"/>
    <w:rsid w:val="00F34494"/>
    <w:rsid w:val="00F3584A"/>
    <w:rsid w:val="00F40812"/>
    <w:rsid w:val="00F454CC"/>
    <w:rsid w:val="00F476E9"/>
    <w:rsid w:val="00F51618"/>
    <w:rsid w:val="00F61F23"/>
    <w:rsid w:val="00F62865"/>
    <w:rsid w:val="00F72CB3"/>
    <w:rsid w:val="00F7368A"/>
    <w:rsid w:val="00F74316"/>
    <w:rsid w:val="00F815FA"/>
    <w:rsid w:val="00F81CC3"/>
    <w:rsid w:val="00F850E2"/>
    <w:rsid w:val="00F85DFA"/>
    <w:rsid w:val="00F86E49"/>
    <w:rsid w:val="00F94DAB"/>
    <w:rsid w:val="00F95BB9"/>
    <w:rsid w:val="00F96A29"/>
    <w:rsid w:val="00FA0457"/>
    <w:rsid w:val="00FA1432"/>
    <w:rsid w:val="00FA3CFC"/>
    <w:rsid w:val="00FA63E7"/>
    <w:rsid w:val="00FB0272"/>
    <w:rsid w:val="00FB5ABD"/>
    <w:rsid w:val="00FC1A3C"/>
    <w:rsid w:val="00FC5689"/>
    <w:rsid w:val="00FD0719"/>
    <w:rsid w:val="00FD1D52"/>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8BA"/>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 w:type="paragraph" w:customStyle="1" w:styleId="p0">
    <w:name w:val="p0"/>
    <w:basedOn w:val="Normal"/>
    <w:rsid w:val="001E299D"/>
    <w:pPr>
      <w:spacing w:after="0" w:line="240" w:lineRule="auto"/>
    </w:pPr>
    <w:rPr>
      <w:rFonts w:ascii="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EE2E9-9A05-46EE-B09B-4771E190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2015-11-05T09:24:00Z</cp:lastPrinted>
  <dcterms:created xsi:type="dcterms:W3CDTF">2015-12-01T09:10:00Z</dcterms:created>
  <dcterms:modified xsi:type="dcterms:W3CDTF">2015-12-01T09:10:00Z</dcterms:modified>
</cp:coreProperties>
</file>