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DF" w:rsidRPr="00CD632F" w:rsidRDefault="00AF33DF" w:rsidP="00CD632F">
      <w:pPr>
        <w:tabs>
          <w:tab w:val="left" w:pos="432"/>
          <w:tab w:val="left" w:pos="864"/>
        </w:tabs>
        <w:spacing w:after="0"/>
        <w:jc w:val="center"/>
        <w:rPr>
          <w:rFonts w:eastAsia="Calibri" w:cs="Arial"/>
          <w:b/>
          <w:szCs w:val="24"/>
          <w:lang w:val="en-GB"/>
        </w:rPr>
      </w:pPr>
      <w:r w:rsidRPr="00CD632F">
        <w:rPr>
          <w:rFonts w:eastAsia="Calibri" w:cs="Arial"/>
          <w:b/>
          <w:szCs w:val="24"/>
          <w:lang w:val="en-GB"/>
        </w:rPr>
        <w:t>NATIONAL ASSEMBLY</w:t>
      </w:r>
    </w:p>
    <w:p w:rsidR="00AF33DF" w:rsidRDefault="00AF33DF" w:rsidP="00CD632F">
      <w:pPr>
        <w:tabs>
          <w:tab w:val="left" w:pos="432"/>
          <w:tab w:val="left" w:pos="864"/>
        </w:tabs>
        <w:spacing w:after="0"/>
        <w:jc w:val="center"/>
        <w:rPr>
          <w:rFonts w:eastAsia="Calibri" w:cs="Arial"/>
          <w:b/>
          <w:szCs w:val="24"/>
          <w:lang w:val="en-GB"/>
        </w:rPr>
      </w:pPr>
      <w:r w:rsidRPr="00CD632F">
        <w:rPr>
          <w:rFonts w:eastAsia="Calibri" w:cs="Arial"/>
          <w:b/>
          <w:szCs w:val="24"/>
          <w:lang w:val="en-GB"/>
        </w:rPr>
        <w:t>QUESTIONS FOR WRITTEN REPLY</w:t>
      </w:r>
    </w:p>
    <w:p w:rsidR="00CD632F" w:rsidRPr="00CD632F" w:rsidRDefault="00CD632F" w:rsidP="00CD632F">
      <w:pPr>
        <w:tabs>
          <w:tab w:val="left" w:pos="432"/>
          <w:tab w:val="left" w:pos="864"/>
        </w:tabs>
        <w:spacing w:after="0"/>
        <w:jc w:val="center"/>
        <w:rPr>
          <w:rFonts w:eastAsia="Calibri" w:cs="Arial"/>
          <w:b/>
          <w:szCs w:val="24"/>
          <w:lang w:val="en-GB"/>
        </w:rPr>
      </w:pPr>
    </w:p>
    <w:p w:rsidR="00AF33DF" w:rsidRPr="00CD632F" w:rsidRDefault="00AF33DF" w:rsidP="00CD632F">
      <w:pPr>
        <w:tabs>
          <w:tab w:val="left" w:pos="432"/>
          <w:tab w:val="left" w:pos="864"/>
        </w:tabs>
        <w:spacing w:after="0"/>
        <w:jc w:val="center"/>
        <w:rPr>
          <w:rFonts w:eastAsia="Calibri" w:cs="Arial"/>
          <w:b/>
          <w:szCs w:val="24"/>
          <w:lang w:val="en-GB"/>
        </w:rPr>
      </w:pPr>
      <w:r w:rsidRPr="00CD632F">
        <w:rPr>
          <w:rFonts w:eastAsia="Calibri" w:cs="Arial"/>
          <w:b/>
          <w:szCs w:val="24"/>
          <w:lang w:val="en-GB"/>
        </w:rPr>
        <w:t>FRIDAY, 19 FEBRUARY 2021</w:t>
      </w:r>
    </w:p>
    <w:p w:rsidR="00AF33DF" w:rsidRPr="00CD632F" w:rsidRDefault="00AF33DF" w:rsidP="00CD632F">
      <w:pPr>
        <w:tabs>
          <w:tab w:val="left" w:pos="432"/>
          <w:tab w:val="left" w:pos="864"/>
        </w:tabs>
        <w:spacing w:after="0"/>
        <w:jc w:val="center"/>
        <w:rPr>
          <w:rFonts w:eastAsia="Calibri" w:cs="Arial"/>
          <w:szCs w:val="24"/>
          <w:lang w:val="en-GB"/>
        </w:rPr>
      </w:pPr>
      <w:r w:rsidRPr="00CD632F">
        <w:rPr>
          <w:rFonts w:eastAsia="Calibri" w:cs="Arial"/>
          <w:b/>
          <w:szCs w:val="24"/>
          <w:lang w:val="en-GB"/>
        </w:rPr>
        <w:t>DUE DATE: 5 MARCH 2021</w:t>
      </w:r>
    </w:p>
    <w:p w:rsidR="00AF33DF" w:rsidRPr="00CD632F" w:rsidRDefault="00AF33DF" w:rsidP="00CD632F">
      <w:pPr>
        <w:tabs>
          <w:tab w:val="left" w:pos="432"/>
          <w:tab w:val="left" w:pos="864"/>
        </w:tabs>
        <w:spacing w:after="0"/>
        <w:rPr>
          <w:rFonts w:eastAsia="Calibri" w:cs="Arial"/>
          <w:szCs w:val="24"/>
          <w:lang w:val="en-GB"/>
        </w:rPr>
      </w:pPr>
    </w:p>
    <w:p w:rsidR="00821512" w:rsidRPr="00CD632F" w:rsidRDefault="00821512" w:rsidP="00CD632F">
      <w:pPr>
        <w:spacing w:after="0"/>
        <w:ind w:left="720" w:hanging="720"/>
        <w:outlineLvl w:val="0"/>
        <w:rPr>
          <w:rFonts w:cs="Arial"/>
          <w:b/>
          <w:szCs w:val="24"/>
        </w:rPr>
      </w:pPr>
      <w:r w:rsidRPr="00CD632F">
        <w:rPr>
          <w:rFonts w:cs="Arial"/>
          <w:b/>
          <w:szCs w:val="24"/>
        </w:rPr>
        <w:t>381.</w:t>
      </w:r>
      <w:r w:rsidRPr="00CD632F">
        <w:rPr>
          <w:rFonts w:cs="Arial"/>
          <w:b/>
          <w:szCs w:val="24"/>
        </w:rPr>
        <w:tab/>
        <w:t xml:space="preserve">Mr M S F de </w:t>
      </w:r>
      <w:proofErr w:type="spellStart"/>
      <w:r w:rsidRPr="00CD632F">
        <w:rPr>
          <w:rFonts w:cs="Arial"/>
          <w:b/>
          <w:szCs w:val="24"/>
        </w:rPr>
        <w:t>Freitas</w:t>
      </w:r>
      <w:proofErr w:type="spellEnd"/>
      <w:r w:rsidRPr="00CD632F">
        <w:rPr>
          <w:rFonts w:cs="Arial"/>
          <w:b/>
          <w:szCs w:val="24"/>
        </w:rPr>
        <w:t xml:space="preserve"> (DA) to ask the President of the Republic</w:t>
      </w:r>
      <w:r w:rsidR="00656BBE" w:rsidRPr="00CD632F">
        <w:rPr>
          <w:rFonts w:cs="Arial"/>
          <w:b/>
          <w:szCs w:val="24"/>
        </w:rPr>
        <w:fldChar w:fldCharType="begin"/>
      </w:r>
      <w:r w:rsidRPr="00CD632F">
        <w:rPr>
          <w:rFonts w:cs="Arial"/>
          <w:szCs w:val="24"/>
        </w:rPr>
        <w:instrText xml:space="preserve"> XE "</w:instrText>
      </w:r>
      <w:r w:rsidRPr="00CD632F">
        <w:rPr>
          <w:rFonts w:cs="Arial"/>
          <w:b/>
          <w:szCs w:val="24"/>
        </w:rPr>
        <w:instrText>President of the Republic</w:instrText>
      </w:r>
      <w:r w:rsidRPr="00CD632F">
        <w:rPr>
          <w:rFonts w:cs="Arial"/>
          <w:szCs w:val="24"/>
        </w:rPr>
        <w:instrText xml:space="preserve">" </w:instrText>
      </w:r>
      <w:r w:rsidR="00656BBE" w:rsidRPr="00CD632F">
        <w:rPr>
          <w:rFonts w:cs="Arial"/>
          <w:b/>
          <w:szCs w:val="24"/>
        </w:rPr>
        <w:fldChar w:fldCharType="end"/>
      </w:r>
      <w:r w:rsidRPr="00CD632F">
        <w:rPr>
          <w:rFonts w:cs="Arial"/>
          <w:b/>
          <w:szCs w:val="24"/>
        </w:rPr>
        <w:t>:</w:t>
      </w:r>
    </w:p>
    <w:p w:rsidR="00CD632F" w:rsidRDefault="00821512" w:rsidP="00CD632F">
      <w:pPr>
        <w:pStyle w:val="Default"/>
        <w:spacing w:line="360" w:lineRule="auto"/>
        <w:ind w:left="720"/>
      </w:pPr>
      <w:r w:rsidRPr="00CD632F">
        <w:t>With reference to the second South Africa Investment Conference, wherein companies made investment commitments of R364 billion in industries including tourism and hospitality, (a</w:t>
      </w:r>
      <w:proofErr w:type="gramStart"/>
      <w:r w:rsidRPr="00CD632F">
        <w:t>)(</w:t>
      </w:r>
      <w:proofErr w:type="spellStart"/>
      <w:proofErr w:type="gramEnd"/>
      <w:r w:rsidRPr="00CD632F">
        <w:t>i</w:t>
      </w:r>
      <w:proofErr w:type="spellEnd"/>
      <w:r w:rsidRPr="00CD632F">
        <w:t>) what is the total amount that has been invested to date, (ii) by what number of companies and (iii) on what dates were these investments made, (b) what is the nature of such investments in each case and (c) how has the investments contributed to the economy to date?</w:t>
      </w:r>
    </w:p>
    <w:p w:rsidR="00CD632F" w:rsidRDefault="00CD632F" w:rsidP="00CD632F">
      <w:pPr>
        <w:pStyle w:val="Default"/>
        <w:spacing w:line="360" w:lineRule="auto"/>
        <w:ind w:left="720"/>
      </w:pPr>
    </w:p>
    <w:p w:rsidR="00821512" w:rsidRPr="00CD632F" w:rsidRDefault="00821512" w:rsidP="00CD632F">
      <w:pPr>
        <w:pStyle w:val="Default"/>
        <w:spacing w:line="360" w:lineRule="auto"/>
        <w:ind w:left="720"/>
      </w:pPr>
      <w:r w:rsidRPr="00CD632F">
        <w:t>NW387E</w:t>
      </w:r>
    </w:p>
    <w:p w:rsidR="00AF33DF" w:rsidRPr="00CD632F" w:rsidRDefault="00AF33DF" w:rsidP="00CD632F">
      <w:pPr>
        <w:tabs>
          <w:tab w:val="left" w:pos="432"/>
          <w:tab w:val="left" w:pos="864"/>
        </w:tabs>
        <w:spacing w:after="0"/>
        <w:rPr>
          <w:rFonts w:eastAsia="Calibri" w:cs="Arial"/>
          <w:szCs w:val="24"/>
          <w:lang w:val="en-GB"/>
        </w:rPr>
      </w:pPr>
    </w:p>
    <w:p w:rsidR="00AF33DF" w:rsidRDefault="00AF33DF" w:rsidP="00CD632F">
      <w:pPr>
        <w:tabs>
          <w:tab w:val="left" w:pos="432"/>
          <w:tab w:val="left" w:pos="864"/>
        </w:tabs>
        <w:spacing w:after="0"/>
        <w:rPr>
          <w:rFonts w:eastAsia="Calibri" w:cs="Arial"/>
          <w:b/>
          <w:szCs w:val="24"/>
          <w:lang w:val="en-GB"/>
        </w:rPr>
      </w:pPr>
      <w:r w:rsidRPr="00CD632F">
        <w:rPr>
          <w:rFonts w:eastAsia="Calibri" w:cs="Arial"/>
          <w:b/>
          <w:szCs w:val="24"/>
          <w:lang w:val="en-GB"/>
        </w:rPr>
        <w:t>REPLY</w:t>
      </w:r>
    </w:p>
    <w:p w:rsidR="00CD632F" w:rsidRPr="00CD632F" w:rsidRDefault="00CD632F" w:rsidP="00CD632F">
      <w:pPr>
        <w:tabs>
          <w:tab w:val="left" w:pos="432"/>
          <w:tab w:val="left" w:pos="864"/>
        </w:tabs>
        <w:spacing w:after="0"/>
        <w:rPr>
          <w:rFonts w:eastAsia="Calibri" w:cs="Arial"/>
          <w:szCs w:val="24"/>
          <w:lang w:val="en-GB"/>
        </w:rPr>
      </w:pPr>
    </w:p>
    <w:p w:rsidR="00174F3C" w:rsidRDefault="00174F3C" w:rsidP="00CD632F">
      <w:pPr>
        <w:spacing w:after="0"/>
        <w:ind w:left="720" w:hanging="720"/>
        <w:rPr>
          <w:rFonts w:eastAsia="SimSun" w:cs="Arial"/>
          <w:szCs w:val="24"/>
          <w:lang w:eastAsia="en-ZA"/>
        </w:rPr>
      </w:pPr>
      <w:r w:rsidRPr="00CD632F">
        <w:rPr>
          <w:rFonts w:eastAsia="SimSun" w:cs="Arial"/>
          <w:szCs w:val="24"/>
          <w:lang w:eastAsia="en-ZA"/>
        </w:rPr>
        <w:t>a) (</w:t>
      </w:r>
      <w:proofErr w:type="spellStart"/>
      <w:proofErr w:type="gramStart"/>
      <w:r w:rsidRPr="00CD632F">
        <w:rPr>
          <w:rFonts w:eastAsia="SimSun" w:cs="Arial"/>
          <w:szCs w:val="24"/>
          <w:lang w:eastAsia="en-ZA"/>
        </w:rPr>
        <w:t>i</w:t>
      </w:r>
      <w:proofErr w:type="spellEnd"/>
      <w:proofErr w:type="gramEnd"/>
      <w:r w:rsidRPr="00CD632F">
        <w:rPr>
          <w:rFonts w:eastAsia="SimSun" w:cs="Arial"/>
          <w:szCs w:val="24"/>
          <w:lang w:eastAsia="en-ZA"/>
        </w:rPr>
        <w:t xml:space="preserve">) </w:t>
      </w:r>
      <w:r w:rsidR="00CD632F">
        <w:rPr>
          <w:rFonts w:eastAsia="SimSun" w:cs="Arial"/>
          <w:szCs w:val="24"/>
          <w:lang w:eastAsia="en-ZA"/>
        </w:rPr>
        <w:tab/>
      </w:r>
      <w:r w:rsidRPr="00CD632F">
        <w:rPr>
          <w:rFonts w:eastAsia="SimSun" w:cs="Arial"/>
          <w:szCs w:val="24"/>
          <w:lang w:eastAsia="en-ZA"/>
        </w:rPr>
        <w:t>Of the R364</w:t>
      </w:r>
      <w:r w:rsidR="00CD632F">
        <w:rPr>
          <w:rFonts w:eastAsia="SimSun" w:cs="Arial"/>
          <w:szCs w:val="24"/>
          <w:lang w:eastAsia="en-ZA"/>
        </w:rPr>
        <w:t>.</w:t>
      </w:r>
      <w:r w:rsidRPr="00CD632F">
        <w:rPr>
          <w:rFonts w:eastAsia="SimSun" w:cs="Arial"/>
          <w:szCs w:val="24"/>
          <w:lang w:eastAsia="en-ZA"/>
        </w:rPr>
        <w:t>4</w:t>
      </w:r>
      <w:r w:rsidR="00CD632F">
        <w:rPr>
          <w:rFonts w:eastAsia="SimSun" w:cs="Arial"/>
          <w:szCs w:val="24"/>
          <w:lang w:eastAsia="en-ZA"/>
        </w:rPr>
        <w:t xml:space="preserve"> billion in investment commitments</w:t>
      </w:r>
      <w:r w:rsidRPr="00CD632F">
        <w:rPr>
          <w:rFonts w:eastAsia="SimSun" w:cs="Arial"/>
          <w:szCs w:val="24"/>
          <w:lang w:eastAsia="en-ZA"/>
        </w:rPr>
        <w:t xml:space="preserve"> announced by 71 companies at the 2019 SA Investment Conference, R69 </w:t>
      </w:r>
      <w:r w:rsidR="00CD632F">
        <w:rPr>
          <w:rFonts w:eastAsia="SimSun" w:cs="Arial"/>
          <w:szCs w:val="24"/>
          <w:lang w:eastAsia="en-ZA"/>
        </w:rPr>
        <w:t>billion</w:t>
      </w:r>
      <w:r w:rsidRPr="00CD632F">
        <w:rPr>
          <w:rFonts w:eastAsia="SimSun" w:cs="Arial"/>
          <w:szCs w:val="24"/>
          <w:lang w:eastAsia="en-ZA"/>
        </w:rPr>
        <w:t xml:space="preserve"> (18.9% of the total value of announcements) has flowed in</w:t>
      </w:r>
      <w:r w:rsidR="00CD632F">
        <w:rPr>
          <w:rFonts w:eastAsia="SimSun" w:cs="Arial"/>
          <w:szCs w:val="24"/>
          <w:lang w:eastAsia="en-ZA"/>
        </w:rPr>
        <w:t>to</w:t>
      </w:r>
      <w:r w:rsidRPr="00CD632F">
        <w:rPr>
          <w:rFonts w:eastAsia="SimSun" w:cs="Arial"/>
          <w:szCs w:val="24"/>
          <w:lang w:eastAsia="en-ZA"/>
        </w:rPr>
        <w:t xml:space="preserve"> the economy as per reports received from companies.</w:t>
      </w:r>
    </w:p>
    <w:p w:rsidR="00CD632F" w:rsidRPr="00CD632F" w:rsidRDefault="00CD632F" w:rsidP="00CD632F">
      <w:pPr>
        <w:spacing w:after="0"/>
        <w:ind w:left="720" w:hanging="720"/>
        <w:rPr>
          <w:rFonts w:eastAsia="SimSun" w:cs="Arial"/>
          <w:szCs w:val="24"/>
          <w:lang w:eastAsia="en-ZA"/>
        </w:rPr>
      </w:pPr>
    </w:p>
    <w:p w:rsidR="00174F3C" w:rsidRDefault="00174F3C" w:rsidP="00CD632F">
      <w:pPr>
        <w:spacing w:after="0"/>
        <w:ind w:left="720" w:hanging="720"/>
        <w:rPr>
          <w:rFonts w:eastAsia="SimSun" w:cs="Arial"/>
          <w:szCs w:val="24"/>
          <w:lang w:eastAsia="en-ZA"/>
        </w:rPr>
      </w:pPr>
      <w:r w:rsidRPr="00CD632F">
        <w:rPr>
          <w:rFonts w:eastAsia="SimSun" w:cs="Arial"/>
          <w:szCs w:val="24"/>
          <w:lang w:eastAsia="en-ZA"/>
        </w:rPr>
        <w:t xml:space="preserve">(ii) </w:t>
      </w:r>
      <w:r w:rsidR="00CD632F">
        <w:rPr>
          <w:rFonts w:eastAsia="SimSun" w:cs="Arial"/>
          <w:szCs w:val="24"/>
          <w:lang w:eastAsia="en-ZA"/>
        </w:rPr>
        <w:tab/>
      </w:r>
      <w:r w:rsidRPr="00CD632F">
        <w:rPr>
          <w:rFonts w:eastAsia="SimSun" w:cs="Arial"/>
          <w:szCs w:val="24"/>
          <w:lang w:eastAsia="en-ZA"/>
        </w:rPr>
        <w:t xml:space="preserve">60 of the 71 companies are responsible for the flows of R69 </w:t>
      </w:r>
      <w:r w:rsidR="00627B9E">
        <w:rPr>
          <w:rFonts w:eastAsia="SimSun" w:cs="Arial"/>
          <w:szCs w:val="24"/>
          <w:lang w:eastAsia="en-ZA"/>
        </w:rPr>
        <w:t>billion</w:t>
      </w:r>
      <w:r w:rsidRPr="00CD632F">
        <w:rPr>
          <w:rFonts w:eastAsia="SimSun" w:cs="Arial"/>
          <w:szCs w:val="24"/>
          <w:lang w:eastAsia="en-ZA"/>
        </w:rPr>
        <w:t>.</w:t>
      </w:r>
    </w:p>
    <w:p w:rsidR="00CD632F" w:rsidRPr="00CD632F" w:rsidRDefault="00CD632F" w:rsidP="00CD632F">
      <w:pPr>
        <w:spacing w:after="0"/>
        <w:ind w:left="720" w:hanging="720"/>
        <w:rPr>
          <w:rFonts w:eastAsia="SimSun" w:cs="Arial"/>
          <w:szCs w:val="24"/>
          <w:lang w:eastAsia="en-ZA"/>
        </w:rPr>
      </w:pPr>
    </w:p>
    <w:p w:rsidR="00174F3C" w:rsidRDefault="00174F3C" w:rsidP="00CD632F">
      <w:pPr>
        <w:spacing w:after="0"/>
        <w:ind w:left="720" w:hanging="720"/>
        <w:rPr>
          <w:rFonts w:eastAsia="SimSun" w:cs="Arial"/>
          <w:szCs w:val="24"/>
          <w:lang w:eastAsia="en-ZA"/>
        </w:rPr>
      </w:pPr>
      <w:r w:rsidRPr="00CD632F">
        <w:rPr>
          <w:rFonts w:eastAsia="SimSun" w:cs="Arial"/>
          <w:szCs w:val="24"/>
          <w:lang w:eastAsia="en-ZA"/>
        </w:rPr>
        <w:t xml:space="preserve">(iii) </w:t>
      </w:r>
      <w:r w:rsidR="00CD632F">
        <w:rPr>
          <w:rFonts w:eastAsia="SimSun" w:cs="Arial"/>
          <w:szCs w:val="24"/>
          <w:lang w:eastAsia="en-ZA"/>
        </w:rPr>
        <w:tab/>
      </w:r>
      <w:r w:rsidRPr="00CD632F">
        <w:rPr>
          <w:rFonts w:eastAsia="SimSun" w:cs="Arial"/>
          <w:szCs w:val="24"/>
          <w:lang w:eastAsia="en-ZA"/>
        </w:rPr>
        <w:t xml:space="preserve">This figure is based on quarterly updates received directly from the companies and </w:t>
      </w:r>
      <w:proofErr w:type="gramStart"/>
      <w:r w:rsidRPr="00CD632F">
        <w:rPr>
          <w:rFonts w:eastAsia="SimSun" w:cs="Arial"/>
          <w:szCs w:val="24"/>
          <w:lang w:eastAsia="en-ZA"/>
        </w:rPr>
        <w:t>reflect</w:t>
      </w:r>
      <w:proofErr w:type="gramEnd"/>
      <w:r w:rsidRPr="00CD632F">
        <w:rPr>
          <w:rFonts w:eastAsia="SimSun" w:cs="Arial"/>
          <w:szCs w:val="24"/>
          <w:lang w:eastAsia="en-ZA"/>
        </w:rPr>
        <w:t xml:space="preserve"> the status quo as at 31 January 2021.</w:t>
      </w:r>
    </w:p>
    <w:p w:rsidR="00CD632F" w:rsidRDefault="00CD632F" w:rsidP="00CD632F">
      <w:pPr>
        <w:spacing w:after="0"/>
        <w:rPr>
          <w:rFonts w:eastAsia="SimSun" w:cs="Arial"/>
          <w:szCs w:val="24"/>
          <w:lang w:eastAsia="en-ZA"/>
        </w:rPr>
      </w:pPr>
    </w:p>
    <w:p w:rsidR="00627B9E" w:rsidRPr="00684635" w:rsidRDefault="00174F3C" w:rsidP="00684635">
      <w:pPr>
        <w:spacing w:after="0"/>
        <w:ind w:left="720" w:hanging="720"/>
        <w:rPr>
          <w:rFonts w:eastAsia="SimSun" w:cs="Arial"/>
          <w:bCs/>
          <w:szCs w:val="24"/>
          <w:lang w:eastAsia="en-ZA"/>
        </w:rPr>
      </w:pPr>
      <w:r w:rsidRPr="00CD632F">
        <w:rPr>
          <w:rFonts w:eastAsia="SimSun" w:cs="Arial"/>
          <w:szCs w:val="24"/>
          <w:lang w:eastAsia="en-ZA"/>
        </w:rPr>
        <w:t>b)</w:t>
      </w:r>
      <w:r w:rsidR="00386822">
        <w:rPr>
          <w:rFonts w:eastAsia="SimSun" w:cs="Arial"/>
          <w:szCs w:val="24"/>
          <w:lang w:eastAsia="en-ZA"/>
        </w:rPr>
        <w:tab/>
      </w:r>
    </w:p>
    <w:tbl>
      <w:tblPr>
        <w:tblStyle w:val="TableGrid"/>
        <w:tblW w:w="8505" w:type="dxa"/>
        <w:tblInd w:w="562" w:type="dxa"/>
        <w:tblCellMar>
          <w:top w:w="28" w:type="dxa"/>
          <w:bottom w:w="28" w:type="dxa"/>
        </w:tblCellMar>
        <w:tblLook w:val="04A0"/>
      </w:tblPr>
      <w:tblGrid>
        <w:gridCol w:w="2694"/>
        <w:gridCol w:w="1559"/>
        <w:gridCol w:w="4252"/>
      </w:tblGrid>
      <w:tr w:rsidR="00627B9E" w:rsidRPr="009F3E9C" w:rsidTr="00684635">
        <w:trPr>
          <w:trHeight w:val="340"/>
          <w:tblHeader/>
        </w:trPr>
        <w:tc>
          <w:tcPr>
            <w:tcW w:w="2694" w:type="dxa"/>
            <w:shd w:val="clear" w:color="auto" w:fill="F2F2F2" w:themeFill="background1" w:themeFillShade="F2"/>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bCs/>
                <w:sz w:val="20"/>
                <w:szCs w:val="20"/>
              </w:rPr>
            </w:pPr>
            <w:r w:rsidRPr="00627B9E">
              <w:rPr>
                <w:rFonts w:ascii="Arial" w:eastAsia="Calibri" w:hAnsi="Arial" w:cs="Arial"/>
                <w:b/>
                <w:bCs/>
                <w:sz w:val="20"/>
                <w:szCs w:val="20"/>
              </w:rPr>
              <w:t>Sector</w:t>
            </w:r>
          </w:p>
        </w:tc>
        <w:tc>
          <w:tcPr>
            <w:tcW w:w="1559" w:type="dxa"/>
            <w:shd w:val="clear" w:color="auto" w:fill="F2F2F2" w:themeFill="background1" w:themeFillShade="F2"/>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b/>
                <w:bCs/>
                <w:sz w:val="20"/>
                <w:szCs w:val="20"/>
              </w:rPr>
            </w:pPr>
            <w:r w:rsidRPr="00627B9E">
              <w:rPr>
                <w:rFonts w:ascii="Arial" w:eastAsia="Calibri" w:hAnsi="Arial" w:cs="Arial"/>
                <w:b/>
                <w:bCs/>
                <w:sz w:val="20"/>
                <w:szCs w:val="20"/>
              </w:rPr>
              <w:t>Number of Investments</w:t>
            </w:r>
          </w:p>
        </w:tc>
        <w:tc>
          <w:tcPr>
            <w:tcW w:w="4252" w:type="dxa"/>
            <w:shd w:val="clear" w:color="auto" w:fill="F2F2F2" w:themeFill="background1" w:themeFillShade="F2"/>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bCs/>
                <w:sz w:val="20"/>
                <w:szCs w:val="20"/>
              </w:rPr>
            </w:pPr>
            <w:r>
              <w:rPr>
                <w:rFonts w:ascii="Arial" w:eastAsia="Calibri" w:hAnsi="Arial" w:cs="Arial"/>
                <w:b/>
                <w:bCs/>
                <w:sz w:val="20"/>
                <w:szCs w:val="20"/>
              </w:rPr>
              <w:t>Nature of investments</w:t>
            </w:r>
          </w:p>
        </w:tc>
      </w:tr>
      <w:tr w:rsidR="00627B9E" w:rsidRPr="009F3E9C" w:rsidTr="00627B9E">
        <w:trPr>
          <w:trHeight w:val="340"/>
        </w:trPr>
        <w:tc>
          <w:tcPr>
            <w:tcW w:w="2694" w:type="dxa"/>
            <w:vMerge w:val="restart"/>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Advanced Manufacturing</w:t>
            </w:r>
          </w:p>
        </w:tc>
        <w:tc>
          <w:tcPr>
            <w:tcW w:w="1559" w:type="dxa"/>
            <w:vMerge w:val="restart"/>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4</w:t>
            </w: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New manufacturing facilities</w:t>
            </w:r>
          </w:p>
        </w:tc>
      </w:tr>
      <w:tr w:rsidR="00627B9E" w:rsidRPr="009F3E9C" w:rsidTr="00627B9E">
        <w:trPr>
          <w:trHeight w:val="340"/>
        </w:trPr>
        <w:tc>
          <w:tcPr>
            <w:tcW w:w="2694" w:type="dxa"/>
            <w:vMerge/>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Factory upgrades and expansions</w:t>
            </w:r>
          </w:p>
        </w:tc>
      </w:tr>
      <w:tr w:rsidR="00627B9E" w:rsidRPr="009F3E9C" w:rsidTr="00627B9E">
        <w:trPr>
          <w:trHeight w:val="340"/>
        </w:trPr>
        <w:tc>
          <w:tcPr>
            <w:tcW w:w="2694" w:type="dxa"/>
            <w:vMerge w:val="restart"/>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lastRenderedPageBreak/>
              <w:t>Agro-processing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tc>
        <w:tc>
          <w:tcPr>
            <w:tcW w:w="1559" w:type="dxa"/>
            <w:vMerge w:val="restart"/>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7</w:t>
            </w:r>
          </w:p>
        </w:tc>
        <w:tc>
          <w:tcPr>
            <w:tcW w:w="4252" w:type="dxa"/>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Factory upgrades and expansions</w:t>
            </w:r>
          </w:p>
        </w:tc>
      </w:tr>
      <w:tr w:rsidR="00627B9E" w:rsidRPr="009F3E9C" w:rsidTr="00627B9E">
        <w:trPr>
          <w:trHeight w:val="340"/>
        </w:trPr>
        <w:tc>
          <w:tcPr>
            <w:tcW w:w="2694" w:type="dxa"/>
            <w:vMerge/>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New manufacturing facilities</w:t>
            </w:r>
          </w:p>
        </w:tc>
      </w:tr>
      <w:tr w:rsidR="00627B9E" w:rsidRPr="009F3E9C" w:rsidTr="00627B9E">
        <w:trPr>
          <w:trHeight w:val="340"/>
        </w:trPr>
        <w:tc>
          <w:tcPr>
            <w:tcW w:w="2694" w:type="dxa"/>
            <w:vMerge/>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Various new and expansion activities under poultry sector Master Plan</w:t>
            </w:r>
          </w:p>
        </w:tc>
      </w:tr>
      <w:tr w:rsidR="00627B9E" w:rsidRPr="009F3E9C" w:rsidTr="00627B9E">
        <w:trPr>
          <w:trHeight w:val="340"/>
        </w:trPr>
        <w:tc>
          <w:tcPr>
            <w:tcW w:w="2694" w:type="dxa"/>
            <w:vMerge w:val="restart"/>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Automotive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tc>
        <w:tc>
          <w:tcPr>
            <w:tcW w:w="1559" w:type="dxa"/>
            <w:vMerge w:val="restart"/>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10</w:t>
            </w: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Factory upgrades and expansions</w:t>
            </w:r>
          </w:p>
        </w:tc>
      </w:tr>
      <w:tr w:rsidR="00627B9E" w:rsidRPr="009F3E9C" w:rsidTr="00627B9E">
        <w:trPr>
          <w:trHeight w:val="340"/>
        </w:trPr>
        <w:tc>
          <w:tcPr>
            <w:tcW w:w="2694" w:type="dxa"/>
            <w:vMerge/>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New manufacturing facilities</w:t>
            </w:r>
          </w:p>
        </w:tc>
      </w:tr>
      <w:tr w:rsidR="00627B9E" w:rsidRPr="009F3E9C" w:rsidTr="00627B9E">
        <w:trPr>
          <w:trHeight w:val="340"/>
        </w:trPr>
        <w:tc>
          <w:tcPr>
            <w:tcW w:w="2694"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Infrastructure</w:t>
            </w:r>
          </w:p>
        </w:tc>
        <w:tc>
          <w:tcPr>
            <w:tcW w:w="1559" w:type="dxa"/>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6</w:t>
            </w: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upgraded and new infrastructure</w:t>
            </w:r>
          </w:p>
        </w:tc>
      </w:tr>
      <w:tr w:rsidR="00627B9E" w:rsidRPr="009F3E9C" w:rsidTr="00627B9E">
        <w:trPr>
          <w:trHeight w:val="340"/>
        </w:trPr>
        <w:tc>
          <w:tcPr>
            <w:tcW w:w="2694" w:type="dxa"/>
            <w:vMerge w:val="restart"/>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Manufacturing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tc>
        <w:tc>
          <w:tcPr>
            <w:tcW w:w="1559" w:type="dxa"/>
            <w:vMerge w:val="restart"/>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11</w:t>
            </w: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Factory upgrades and expansions</w:t>
            </w:r>
          </w:p>
        </w:tc>
      </w:tr>
      <w:tr w:rsidR="00627B9E" w:rsidRPr="009F3E9C" w:rsidTr="00627B9E">
        <w:trPr>
          <w:trHeight w:val="340"/>
        </w:trPr>
        <w:tc>
          <w:tcPr>
            <w:tcW w:w="2694" w:type="dxa"/>
            <w:vMerge/>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New manufacturing facilities</w:t>
            </w:r>
          </w:p>
        </w:tc>
      </w:tr>
      <w:tr w:rsidR="00627B9E" w:rsidRPr="009F3E9C" w:rsidTr="00627B9E">
        <w:trPr>
          <w:trHeight w:val="340"/>
        </w:trPr>
        <w:tc>
          <w:tcPr>
            <w:tcW w:w="2694" w:type="dxa"/>
            <w:vMerge/>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Expansion of productive capacity across different operations</w:t>
            </w:r>
          </w:p>
        </w:tc>
      </w:tr>
      <w:tr w:rsidR="00627B9E" w:rsidRPr="009F3E9C" w:rsidTr="00627B9E">
        <w:trPr>
          <w:trHeight w:val="340"/>
        </w:trPr>
        <w:tc>
          <w:tcPr>
            <w:tcW w:w="2694" w:type="dxa"/>
            <w:vMerge/>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Various new and expansion activities under the Retail, Clothing, Textile, Leather and Footwear Master Plan</w:t>
            </w:r>
          </w:p>
        </w:tc>
      </w:tr>
      <w:tr w:rsidR="00627B9E" w:rsidRPr="009F3E9C" w:rsidTr="00627B9E">
        <w:trPr>
          <w:trHeight w:val="340"/>
        </w:trPr>
        <w:tc>
          <w:tcPr>
            <w:tcW w:w="2694" w:type="dxa"/>
            <w:vMerge w:val="restart"/>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Mineral Beneficiation</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tc>
        <w:tc>
          <w:tcPr>
            <w:tcW w:w="1559" w:type="dxa"/>
            <w:vMerge w:val="restart"/>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11</w:t>
            </w: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Expansion and upgrading of existing mining operations</w:t>
            </w:r>
          </w:p>
        </w:tc>
      </w:tr>
      <w:tr w:rsidR="00627B9E" w:rsidRPr="009F3E9C" w:rsidTr="00627B9E">
        <w:trPr>
          <w:trHeight w:val="340"/>
        </w:trPr>
        <w:tc>
          <w:tcPr>
            <w:tcW w:w="2694" w:type="dxa"/>
            <w:vMerge/>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New mines</w:t>
            </w:r>
          </w:p>
        </w:tc>
      </w:tr>
      <w:tr w:rsidR="00627B9E" w:rsidRPr="009F3E9C" w:rsidTr="00627B9E">
        <w:trPr>
          <w:trHeight w:val="340"/>
        </w:trPr>
        <w:tc>
          <w:tcPr>
            <w:tcW w:w="2694" w:type="dxa"/>
            <w:vMerge/>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new and expansion of mineral processing capacity</w:t>
            </w:r>
          </w:p>
        </w:tc>
      </w:tr>
      <w:tr w:rsidR="00627B9E" w:rsidRPr="009F3E9C" w:rsidTr="00627B9E">
        <w:trPr>
          <w:trHeight w:val="340"/>
        </w:trPr>
        <w:tc>
          <w:tcPr>
            <w:tcW w:w="2694" w:type="dxa"/>
            <w:vMerge w:val="restart"/>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Services</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tc>
        <w:tc>
          <w:tcPr>
            <w:tcW w:w="1559" w:type="dxa"/>
            <w:vMerge w:val="restart"/>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6</w:t>
            </w: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 xml:space="preserve">Investment in new </w:t>
            </w:r>
            <w:proofErr w:type="spellStart"/>
            <w:r w:rsidRPr="00627B9E">
              <w:rPr>
                <w:rFonts w:ascii="Arial" w:eastAsia="Calibri" w:hAnsi="Arial" w:cs="Arial"/>
                <w:sz w:val="20"/>
                <w:szCs w:val="20"/>
              </w:rPr>
              <w:t>datacentres</w:t>
            </w:r>
            <w:proofErr w:type="spellEnd"/>
          </w:p>
        </w:tc>
      </w:tr>
      <w:tr w:rsidR="00627B9E" w:rsidRPr="009F3E9C" w:rsidTr="00627B9E">
        <w:trPr>
          <w:trHeight w:val="340"/>
        </w:trPr>
        <w:tc>
          <w:tcPr>
            <w:tcW w:w="2694" w:type="dxa"/>
            <w:vMerge/>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new and upgrading of broadband infrastructure and services</w:t>
            </w:r>
          </w:p>
        </w:tc>
      </w:tr>
      <w:tr w:rsidR="00627B9E" w:rsidRPr="009F3E9C" w:rsidTr="00627B9E">
        <w:trPr>
          <w:trHeight w:val="340"/>
        </w:trPr>
        <w:tc>
          <w:tcPr>
            <w:tcW w:w="2694" w:type="dxa"/>
            <w:vMerge/>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financial services</w:t>
            </w:r>
          </w:p>
        </w:tc>
      </w:tr>
      <w:tr w:rsidR="00627B9E" w:rsidRPr="009F3E9C" w:rsidTr="00627B9E">
        <w:trPr>
          <w:trHeight w:val="340"/>
        </w:trPr>
        <w:tc>
          <w:tcPr>
            <w:tcW w:w="2694" w:type="dxa"/>
            <w:vMerge/>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tcBorders>
              <w:bottom w:val="single" w:sz="4" w:space="0" w:color="auto"/>
            </w:tcBorders>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Expansion and upgrading of existing facilities</w:t>
            </w:r>
          </w:p>
        </w:tc>
      </w:tr>
      <w:tr w:rsidR="00627B9E" w:rsidRPr="009F3E9C" w:rsidTr="00627B9E">
        <w:trPr>
          <w:trHeight w:val="340"/>
        </w:trPr>
        <w:tc>
          <w:tcPr>
            <w:tcW w:w="2694"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Oceans Economy</w:t>
            </w:r>
          </w:p>
        </w:tc>
        <w:tc>
          <w:tcPr>
            <w:tcW w:w="1559" w:type="dxa"/>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1</w:t>
            </w: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New cruise terminal infrastructure</w:t>
            </w:r>
          </w:p>
        </w:tc>
      </w:tr>
      <w:tr w:rsidR="00627B9E" w:rsidRPr="009F3E9C" w:rsidTr="00627B9E">
        <w:trPr>
          <w:trHeight w:val="340"/>
        </w:trPr>
        <w:tc>
          <w:tcPr>
            <w:tcW w:w="2694"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Oil and Gas</w:t>
            </w:r>
          </w:p>
        </w:tc>
        <w:tc>
          <w:tcPr>
            <w:tcW w:w="1559" w:type="dxa"/>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2</w:t>
            </w: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new and upgrading of oil &amp; gas projects</w:t>
            </w:r>
          </w:p>
        </w:tc>
      </w:tr>
      <w:tr w:rsidR="00627B9E" w:rsidRPr="009F3E9C" w:rsidTr="00627B9E">
        <w:trPr>
          <w:trHeight w:val="340"/>
        </w:trPr>
        <w:tc>
          <w:tcPr>
            <w:tcW w:w="2694"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Renewable Energy</w:t>
            </w:r>
          </w:p>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 </w:t>
            </w:r>
          </w:p>
        </w:tc>
        <w:tc>
          <w:tcPr>
            <w:tcW w:w="1559" w:type="dxa"/>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2</w:t>
            </w: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small scale renewable energy projects</w:t>
            </w:r>
          </w:p>
        </w:tc>
      </w:tr>
      <w:tr w:rsidR="00627B9E" w:rsidRPr="009F3E9C" w:rsidTr="00627B9E">
        <w:trPr>
          <w:trHeight w:val="340"/>
        </w:trPr>
        <w:tc>
          <w:tcPr>
            <w:tcW w:w="2694" w:type="dxa"/>
            <w:vMerge w:val="restart"/>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Tourism and Hospitality </w:t>
            </w:r>
          </w:p>
        </w:tc>
        <w:tc>
          <w:tcPr>
            <w:tcW w:w="1559" w:type="dxa"/>
            <w:vMerge w:val="restart"/>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8</w:t>
            </w: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Property development</w:t>
            </w:r>
          </w:p>
        </w:tc>
      </w:tr>
      <w:tr w:rsidR="00627B9E" w:rsidRPr="009F3E9C" w:rsidTr="00627B9E">
        <w:trPr>
          <w:trHeight w:val="340"/>
        </w:trPr>
        <w:tc>
          <w:tcPr>
            <w:tcW w:w="2694" w:type="dxa"/>
            <w:vMerge/>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p>
        </w:tc>
        <w:tc>
          <w:tcPr>
            <w:tcW w:w="1559" w:type="dxa"/>
            <w:vMerge/>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p>
        </w:tc>
        <w:tc>
          <w:tcPr>
            <w:tcW w:w="4252" w:type="dxa"/>
            <w:tcBorders>
              <w:bottom w:val="single" w:sz="4" w:space="0" w:color="auto"/>
            </w:tcBorders>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 xml:space="preserve">New tourism </w:t>
            </w:r>
            <w:r w:rsidR="00F03E24">
              <w:rPr>
                <w:rFonts w:ascii="Arial" w:eastAsia="Calibri" w:hAnsi="Arial" w:cs="Arial"/>
                <w:sz w:val="20"/>
                <w:szCs w:val="20"/>
              </w:rPr>
              <w:t>and</w:t>
            </w:r>
            <w:r w:rsidRPr="00627B9E">
              <w:rPr>
                <w:rFonts w:ascii="Arial" w:eastAsia="Calibri" w:hAnsi="Arial" w:cs="Arial"/>
                <w:sz w:val="20"/>
                <w:szCs w:val="20"/>
              </w:rPr>
              <w:t xml:space="preserve"> hospitality projects</w:t>
            </w:r>
          </w:p>
        </w:tc>
      </w:tr>
      <w:tr w:rsidR="00627B9E" w:rsidRPr="009F3E9C" w:rsidTr="00627B9E">
        <w:trPr>
          <w:trHeight w:val="340"/>
        </w:trPr>
        <w:tc>
          <w:tcPr>
            <w:tcW w:w="2694"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Funds</w:t>
            </w:r>
          </w:p>
        </w:tc>
        <w:tc>
          <w:tcPr>
            <w:tcW w:w="1559" w:type="dxa"/>
            <w:noWrap/>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2</w:t>
            </w:r>
          </w:p>
        </w:tc>
        <w:tc>
          <w:tcPr>
            <w:tcW w:w="4252" w:type="dxa"/>
            <w:noWrap/>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project financing</w:t>
            </w:r>
          </w:p>
        </w:tc>
      </w:tr>
      <w:tr w:rsidR="00627B9E" w:rsidRPr="009F3E9C" w:rsidTr="00627B9E">
        <w:trPr>
          <w:trHeight w:val="340"/>
        </w:trPr>
        <w:tc>
          <w:tcPr>
            <w:tcW w:w="2694"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b/>
                <w:sz w:val="20"/>
                <w:szCs w:val="20"/>
              </w:rPr>
            </w:pPr>
            <w:r w:rsidRPr="00627B9E">
              <w:rPr>
                <w:rFonts w:ascii="Arial" w:eastAsia="Calibri" w:hAnsi="Arial" w:cs="Arial"/>
                <w:b/>
                <w:sz w:val="20"/>
                <w:szCs w:val="20"/>
              </w:rPr>
              <w:t>Collective Announcement</w:t>
            </w:r>
          </w:p>
        </w:tc>
        <w:tc>
          <w:tcPr>
            <w:tcW w:w="1559" w:type="dxa"/>
            <w:noWrap/>
            <w:hideMark/>
          </w:tcPr>
          <w:p w:rsidR="00627B9E" w:rsidRPr="00627B9E" w:rsidRDefault="00627B9E" w:rsidP="00627B9E">
            <w:pPr>
              <w:tabs>
                <w:tab w:val="left" w:pos="432"/>
                <w:tab w:val="left" w:pos="864"/>
              </w:tabs>
              <w:spacing w:before="100" w:beforeAutospacing="1" w:after="100" w:afterAutospacing="1"/>
              <w:jc w:val="center"/>
              <w:rPr>
                <w:rFonts w:ascii="Arial" w:eastAsia="Calibri" w:hAnsi="Arial" w:cs="Arial"/>
                <w:sz w:val="20"/>
                <w:szCs w:val="20"/>
              </w:rPr>
            </w:pPr>
            <w:r w:rsidRPr="00627B9E">
              <w:rPr>
                <w:rFonts w:ascii="Arial" w:eastAsia="Calibri" w:hAnsi="Arial" w:cs="Arial"/>
                <w:sz w:val="20"/>
                <w:szCs w:val="20"/>
              </w:rPr>
              <w:t>1</w:t>
            </w:r>
          </w:p>
        </w:tc>
        <w:tc>
          <w:tcPr>
            <w:tcW w:w="4252" w:type="dxa"/>
            <w:noWrap/>
            <w:hideMark/>
          </w:tcPr>
          <w:p w:rsidR="00627B9E" w:rsidRPr="00627B9E" w:rsidRDefault="00627B9E" w:rsidP="00627B9E">
            <w:pPr>
              <w:tabs>
                <w:tab w:val="left" w:pos="432"/>
                <w:tab w:val="left" w:pos="864"/>
              </w:tabs>
              <w:spacing w:before="100" w:beforeAutospacing="1" w:after="100" w:afterAutospacing="1"/>
              <w:rPr>
                <w:rFonts w:ascii="Arial" w:eastAsia="Calibri" w:hAnsi="Arial" w:cs="Arial"/>
                <w:sz w:val="20"/>
                <w:szCs w:val="20"/>
              </w:rPr>
            </w:pPr>
            <w:r w:rsidRPr="00627B9E">
              <w:rPr>
                <w:rFonts w:ascii="Arial" w:eastAsia="Calibri" w:hAnsi="Arial" w:cs="Arial"/>
                <w:sz w:val="20"/>
                <w:szCs w:val="20"/>
              </w:rPr>
              <w:t>Investment in various types of activities</w:t>
            </w:r>
          </w:p>
        </w:tc>
      </w:tr>
    </w:tbl>
    <w:p w:rsidR="00386822" w:rsidRPr="00386822" w:rsidRDefault="00386822" w:rsidP="00627B9E">
      <w:pPr>
        <w:spacing w:after="0"/>
        <w:rPr>
          <w:rFonts w:cs="Arial"/>
          <w:strike/>
          <w:szCs w:val="24"/>
        </w:rPr>
      </w:pPr>
    </w:p>
    <w:p w:rsidR="00335412" w:rsidRPr="00CD632F" w:rsidRDefault="00174F3C" w:rsidP="00CD632F">
      <w:pPr>
        <w:spacing w:after="0"/>
        <w:ind w:left="720" w:hanging="720"/>
        <w:rPr>
          <w:rFonts w:cs="Arial"/>
          <w:szCs w:val="24"/>
        </w:rPr>
      </w:pPr>
      <w:r w:rsidRPr="00CD632F">
        <w:rPr>
          <w:rFonts w:cs="Arial"/>
          <w:szCs w:val="24"/>
        </w:rPr>
        <w:t xml:space="preserve">c) </w:t>
      </w:r>
      <w:r w:rsidR="00CD632F">
        <w:rPr>
          <w:rFonts w:cs="Arial"/>
          <w:szCs w:val="24"/>
        </w:rPr>
        <w:tab/>
      </w:r>
      <w:r w:rsidRPr="00CD632F">
        <w:rPr>
          <w:rFonts w:cs="Arial"/>
          <w:szCs w:val="24"/>
        </w:rPr>
        <w:t xml:space="preserve">The 2019 investment announcements are at different stages of progress and implementation and include site clearances, installation of bulk infrastructure, commissioning of plant equipment, </w:t>
      </w:r>
      <w:r w:rsidR="00CD632F">
        <w:rPr>
          <w:rFonts w:cs="Arial"/>
          <w:szCs w:val="24"/>
        </w:rPr>
        <w:t xml:space="preserve">and </w:t>
      </w:r>
      <w:r w:rsidRPr="00CD632F">
        <w:rPr>
          <w:rFonts w:cs="Arial"/>
          <w:szCs w:val="24"/>
        </w:rPr>
        <w:t>factory launches</w:t>
      </w:r>
      <w:r w:rsidR="00CD632F">
        <w:rPr>
          <w:rFonts w:cs="Arial"/>
          <w:szCs w:val="24"/>
        </w:rPr>
        <w:t xml:space="preserve">. These activities are </w:t>
      </w:r>
      <w:r w:rsidR="00CD632F">
        <w:rPr>
          <w:rFonts w:cs="Arial"/>
          <w:szCs w:val="24"/>
        </w:rPr>
        <w:lastRenderedPageBreak/>
        <w:t>contributing</w:t>
      </w:r>
      <w:r w:rsidRPr="00CD632F">
        <w:rPr>
          <w:rFonts w:cs="Arial"/>
          <w:szCs w:val="24"/>
        </w:rPr>
        <w:t xml:space="preserve"> to the creation of jobs and economic development across provinces.</w:t>
      </w:r>
    </w:p>
    <w:sectPr w:rsidR="00335412" w:rsidRPr="00CD632F" w:rsidSect="00656BB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63" w:rsidRDefault="008B7B63" w:rsidP="009D0635">
      <w:pPr>
        <w:spacing w:after="0" w:line="240" w:lineRule="auto"/>
      </w:pPr>
      <w:r>
        <w:separator/>
      </w:r>
    </w:p>
  </w:endnote>
  <w:endnote w:type="continuationSeparator" w:id="0">
    <w:p w:rsidR="008B7B63" w:rsidRDefault="008B7B63" w:rsidP="009D0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08962"/>
      <w:docPartObj>
        <w:docPartGallery w:val="Page Numbers (Bottom of Page)"/>
        <w:docPartUnique/>
      </w:docPartObj>
    </w:sdtPr>
    <w:sdtEndPr>
      <w:rPr>
        <w:noProof/>
      </w:rPr>
    </w:sdtEndPr>
    <w:sdtContent>
      <w:p w:rsidR="009D0635" w:rsidRDefault="00656BBE">
        <w:pPr>
          <w:pStyle w:val="Footer"/>
          <w:jc w:val="right"/>
        </w:pPr>
        <w:r>
          <w:fldChar w:fldCharType="begin"/>
        </w:r>
        <w:r w:rsidR="009D0635">
          <w:instrText xml:space="preserve"> PAGE   \* MERGEFORMAT </w:instrText>
        </w:r>
        <w:r>
          <w:fldChar w:fldCharType="separate"/>
        </w:r>
        <w:r w:rsidR="00246051">
          <w:rPr>
            <w:noProof/>
          </w:rPr>
          <w:t>1</w:t>
        </w:r>
        <w:r>
          <w:rPr>
            <w:noProof/>
          </w:rPr>
          <w:fldChar w:fldCharType="end"/>
        </w:r>
      </w:p>
    </w:sdtContent>
  </w:sdt>
  <w:p w:rsidR="009D0635" w:rsidRDefault="009D0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63" w:rsidRDefault="008B7B63" w:rsidP="009D0635">
      <w:pPr>
        <w:spacing w:after="0" w:line="240" w:lineRule="auto"/>
      </w:pPr>
      <w:r>
        <w:separator/>
      </w:r>
    </w:p>
  </w:footnote>
  <w:footnote w:type="continuationSeparator" w:id="0">
    <w:p w:rsidR="008B7B63" w:rsidRDefault="008B7B63" w:rsidP="009D0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footnotePr>
    <w:footnote w:id="-1"/>
    <w:footnote w:id="0"/>
  </w:footnotePr>
  <w:endnotePr>
    <w:endnote w:id="-1"/>
    <w:endnote w:id="0"/>
  </w:endnotePr>
  <w:compat/>
  <w:docVars>
    <w:docVar w:name="dgnword-docGUID" w:val="{AF61D421-D444-48FE-8D87-BBC98B4B6766}"/>
    <w:docVar w:name="dgnword-eventsink" w:val="1289609243632"/>
  </w:docVars>
  <w:rsids>
    <w:rsidRoot w:val="00AF33DF"/>
    <w:rsid w:val="000F4B90"/>
    <w:rsid w:val="00105174"/>
    <w:rsid w:val="00174F3C"/>
    <w:rsid w:val="00246051"/>
    <w:rsid w:val="00270D8B"/>
    <w:rsid w:val="00325CD2"/>
    <w:rsid w:val="00335412"/>
    <w:rsid w:val="00386822"/>
    <w:rsid w:val="005F49B9"/>
    <w:rsid w:val="00627B9E"/>
    <w:rsid w:val="00656BBE"/>
    <w:rsid w:val="00684635"/>
    <w:rsid w:val="007924A8"/>
    <w:rsid w:val="007C5285"/>
    <w:rsid w:val="00821512"/>
    <w:rsid w:val="008B7B63"/>
    <w:rsid w:val="008C5266"/>
    <w:rsid w:val="009D0635"/>
    <w:rsid w:val="00AF33DF"/>
    <w:rsid w:val="00BA3F46"/>
    <w:rsid w:val="00CA5F21"/>
    <w:rsid w:val="00CD632F"/>
    <w:rsid w:val="00DA502C"/>
    <w:rsid w:val="00F03E24"/>
    <w:rsid w:val="00F523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3DF"/>
    <w:pPr>
      <w:widowControl w:val="0"/>
      <w:autoSpaceDE w:val="0"/>
      <w:autoSpaceDN w:val="0"/>
      <w:adjustRightInd w:val="0"/>
      <w:spacing w:after="0" w:line="240" w:lineRule="auto"/>
    </w:pPr>
    <w:rPr>
      <w:rFonts w:eastAsia="Times New Roman" w:cs="Arial"/>
      <w:color w:val="000000"/>
      <w:szCs w:val="24"/>
      <w:lang w:val="en-US"/>
    </w:rPr>
  </w:style>
  <w:style w:type="table" w:styleId="TableGrid">
    <w:name w:val="Table Grid"/>
    <w:basedOn w:val="TableNormal"/>
    <w:uiPriority w:val="39"/>
    <w:rsid w:val="00174F3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F3C"/>
    <w:pPr>
      <w:ind w:left="720"/>
      <w:contextualSpacing/>
    </w:pPr>
  </w:style>
  <w:style w:type="paragraph" w:styleId="Header">
    <w:name w:val="header"/>
    <w:basedOn w:val="Normal"/>
    <w:link w:val="HeaderChar"/>
    <w:uiPriority w:val="99"/>
    <w:unhideWhenUsed/>
    <w:rsid w:val="009D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635"/>
  </w:style>
  <w:style w:type="paragraph" w:styleId="Footer">
    <w:name w:val="footer"/>
    <w:basedOn w:val="Normal"/>
    <w:link w:val="FooterChar"/>
    <w:uiPriority w:val="99"/>
    <w:unhideWhenUsed/>
    <w:rsid w:val="009D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2021-03-03T18:36:00Z</dcterms:created>
  <dcterms:modified xsi:type="dcterms:W3CDTF">2021-03-03T18:36:00Z</dcterms:modified>
</cp:coreProperties>
</file>