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6D" w:rsidRPr="00A31827" w:rsidRDefault="00A4586D" w:rsidP="00A4586D">
      <w:pPr>
        <w:tabs>
          <w:tab w:val="left" w:pos="432"/>
          <w:tab w:val="left" w:pos="864"/>
        </w:tabs>
        <w:spacing w:line="276" w:lineRule="auto"/>
        <w:jc w:val="center"/>
        <w:rPr>
          <w:rFonts w:ascii="Arial" w:hAnsi="Arial" w:cs="Arial"/>
          <w:b/>
          <w:sz w:val="22"/>
          <w:szCs w:val="22"/>
        </w:rPr>
      </w:pPr>
      <w:bookmarkStart w:id="0" w:name="_GoBack"/>
      <w:bookmarkEnd w:id="0"/>
      <w:r w:rsidRPr="00A31827">
        <w:rPr>
          <w:rFonts w:ascii="Arial" w:hAnsi="Arial" w:cs="Arial"/>
          <w:b/>
          <w:sz w:val="22"/>
          <w:szCs w:val="22"/>
        </w:rPr>
        <w:t xml:space="preserve">NATIONAL </w:t>
      </w:r>
      <w:r w:rsidR="00A4552A">
        <w:rPr>
          <w:rFonts w:ascii="Arial" w:hAnsi="Arial" w:cs="Arial"/>
          <w:b/>
          <w:sz w:val="22"/>
          <w:szCs w:val="22"/>
        </w:rPr>
        <w:t>ASSEMBLY</w:t>
      </w:r>
    </w:p>
    <w:p w:rsidR="00A4586D" w:rsidRPr="00A31827" w:rsidRDefault="00A4586D" w:rsidP="00A4586D">
      <w:pPr>
        <w:tabs>
          <w:tab w:val="left" w:pos="432"/>
          <w:tab w:val="left" w:pos="864"/>
        </w:tabs>
        <w:spacing w:line="276" w:lineRule="auto"/>
        <w:jc w:val="center"/>
        <w:rPr>
          <w:rFonts w:ascii="Arial" w:hAnsi="Arial" w:cs="Arial"/>
          <w:b/>
          <w:sz w:val="22"/>
          <w:szCs w:val="22"/>
        </w:rPr>
      </w:pPr>
      <w:r w:rsidRPr="00A31827">
        <w:rPr>
          <w:rFonts w:ascii="Arial" w:hAnsi="Arial" w:cs="Arial"/>
          <w:b/>
          <w:sz w:val="22"/>
          <w:szCs w:val="22"/>
        </w:rPr>
        <w:t xml:space="preserve">QUESTION </w:t>
      </w:r>
      <w:r w:rsidRPr="00A4552A">
        <w:rPr>
          <w:rFonts w:ascii="Arial" w:hAnsi="Arial" w:cs="Arial"/>
          <w:b/>
          <w:sz w:val="22"/>
          <w:szCs w:val="22"/>
        </w:rPr>
        <w:t xml:space="preserve">FOR </w:t>
      </w:r>
      <w:r w:rsidR="00A4552A" w:rsidRPr="00A4552A">
        <w:rPr>
          <w:rFonts w:ascii="Arial" w:hAnsi="Arial" w:cs="Arial"/>
          <w:b/>
          <w:sz w:val="22"/>
          <w:szCs w:val="22"/>
        </w:rPr>
        <w:t>WRITTEN</w:t>
      </w:r>
      <w:r w:rsidRPr="00A4552A">
        <w:rPr>
          <w:rFonts w:ascii="Arial" w:hAnsi="Arial" w:cs="Arial"/>
          <w:b/>
          <w:sz w:val="22"/>
          <w:szCs w:val="22"/>
        </w:rPr>
        <w:t xml:space="preserve"> </w:t>
      </w:r>
      <w:r w:rsidRPr="00A31827">
        <w:rPr>
          <w:rFonts w:ascii="Arial" w:hAnsi="Arial" w:cs="Arial"/>
          <w:b/>
          <w:sz w:val="22"/>
          <w:szCs w:val="22"/>
        </w:rPr>
        <w:t>REPLY</w:t>
      </w:r>
    </w:p>
    <w:p w:rsidR="00A4586D" w:rsidRDefault="00A4586D" w:rsidP="00A4586D">
      <w:pPr>
        <w:tabs>
          <w:tab w:val="left" w:pos="432"/>
          <w:tab w:val="left" w:pos="864"/>
        </w:tabs>
        <w:spacing w:line="276" w:lineRule="auto"/>
        <w:jc w:val="center"/>
        <w:rPr>
          <w:rFonts w:ascii="Arial" w:hAnsi="Arial" w:cs="Arial"/>
          <w:b/>
          <w:sz w:val="22"/>
          <w:szCs w:val="22"/>
        </w:rPr>
      </w:pPr>
      <w:r w:rsidRPr="00A31827">
        <w:rPr>
          <w:rFonts w:ascii="Arial" w:hAnsi="Arial" w:cs="Arial"/>
          <w:b/>
          <w:sz w:val="22"/>
          <w:szCs w:val="22"/>
        </w:rPr>
        <w:t xml:space="preserve">QUESTION NUMBER: </w:t>
      </w:r>
      <w:r w:rsidR="00BF7938">
        <w:rPr>
          <w:rFonts w:ascii="Arial" w:hAnsi="Arial" w:cs="Arial"/>
          <w:b/>
          <w:sz w:val="22"/>
          <w:szCs w:val="22"/>
        </w:rPr>
        <w:t>3733</w:t>
      </w:r>
      <w:r>
        <w:rPr>
          <w:rFonts w:ascii="Arial" w:hAnsi="Arial" w:cs="Arial"/>
          <w:b/>
          <w:sz w:val="22"/>
          <w:szCs w:val="22"/>
        </w:rPr>
        <w:t xml:space="preserve"> </w:t>
      </w:r>
      <w:r w:rsidRPr="00A31827">
        <w:rPr>
          <w:rFonts w:ascii="Arial" w:hAnsi="Arial" w:cs="Arial"/>
          <w:b/>
          <w:sz w:val="22"/>
          <w:szCs w:val="22"/>
        </w:rPr>
        <w:t>[</w:t>
      </w:r>
      <w:r w:rsidR="00A4552A">
        <w:rPr>
          <w:rFonts w:ascii="Arial" w:hAnsi="Arial" w:cs="Arial"/>
          <w:b/>
          <w:sz w:val="22"/>
          <w:szCs w:val="22"/>
          <w:lang w:val="en-ZA"/>
        </w:rPr>
        <w:t>NW</w:t>
      </w:r>
      <w:r w:rsidR="00BF7938">
        <w:rPr>
          <w:rFonts w:ascii="Arial" w:hAnsi="Arial" w:cs="Arial"/>
          <w:b/>
          <w:sz w:val="22"/>
          <w:szCs w:val="22"/>
          <w:lang w:val="en-ZA"/>
        </w:rPr>
        <w:t>4309</w:t>
      </w:r>
      <w:r w:rsidRPr="00A31827">
        <w:rPr>
          <w:rFonts w:ascii="Arial" w:hAnsi="Arial" w:cs="Arial"/>
          <w:b/>
          <w:sz w:val="22"/>
          <w:szCs w:val="22"/>
          <w:lang w:val="en-ZA"/>
        </w:rPr>
        <w:t>E</w:t>
      </w:r>
      <w:r w:rsidRPr="00A31827">
        <w:rPr>
          <w:rFonts w:ascii="Arial" w:hAnsi="Arial" w:cs="Arial"/>
          <w:b/>
          <w:sz w:val="22"/>
          <w:szCs w:val="22"/>
        </w:rPr>
        <w:t>]</w:t>
      </w:r>
    </w:p>
    <w:p w:rsidR="00A4552A" w:rsidRPr="00A31827" w:rsidRDefault="00BF7938" w:rsidP="00A4586D">
      <w:pPr>
        <w:tabs>
          <w:tab w:val="left" w:pos="432"/>
          <w:tab w:val="left" w:pos="864"/>
        </w:tabs>
        <w:spacing w:line="276" w:lineRule="auto"/>
        <w:jc w:val="center"/>
        <w:rPr>
          <w:rFonts w:ascii="Arial" w:hAnsi="Arial" w:cs="Arial"/>
          <w:b/>
          <w:sz w:val="22"/>
          <w:szCs w:val="22"/>
        </w:rPr>
      </w:pPr>
      <w:r>
        <w:rPr>
          <w:rFonts w:ascii="Arial" w:hAnsi="Arial" w:cs="Arial"/>
          <w:b/>
          <w:sz w:val="22"/>
          <w:szCs w:val="22"/>
        </w:rPr>
        <w:t>DATE OF PUBLICATION: 30</w:t>
      </w:r>
      <w:r w:rsidR="00A4552A">
        <w:rPr>
          <w:rFonts w:ascii="Arial" w:hAnsi="Arial" w:cs="Arial"/>
          <w:b/>
          <w:sz w:val="22"/>
          <w:szCs w:val="22"/>
        </w:rPr>
        <w:t xml:space="preserve"> NOVEMBER 2018</w:t>
      </w:r>
    </w:p>
    <w:p w:rsidR="0062770E" w:rsidRPr="00CB6784" w:rsidRDefault="0062770E" w:rsidP="00C90C02">
      <w:pPr>
        <w:pStyle w:val="BodyTextIndent"/>
        <w:spacing w:line="360" w:lineRule="auto"/>
        <w:ind w:left="0" w:firstLine="0"/>
        <w:rPr>
          <w:rFonts w:ascii="Arial" w:hAnsi="Arial" w:cs="Arial"/>
          <w:b/>
          <w:sz w:val="22"/>
          <w:szCs w:val="22"/>
        </w:rPr>
      </w:pPr>
    </w:p>
    <w:p w:rsidR="00BF7938" w:rsidRPr="00BF7938" w:rsidRDefault="00BF7938" w:rsidP="00BF7938">
      <w:pPr>
        <w:spacing w:before="100" w:beforeAutospacing="1" w:after="100" w:afterAutospacing="1" w:line="276" w:lineRule="auto"/>
        <w:ind w:left="851" w:hanging="851"/>
        <w:rPr>
          <w:rFonts w:ascii="Arial" w:eastAsia="Calibri" w:hAnsi="Arial" w:cs="Arial"/>
          <w:b/>
          <w:sz w:val="22"/>
          <w:szCs w:val="22"/>
          <w:lang w:val="en-GB"/>
        </w:rPr>
      </w:pPr>
      <w:r w:rsidRPr="00BF7938">
        <w:rPr>
          <w:rFonts w:ascii="Arial" w:eastAsia="Calibri" w:hAnsi="Arial" w:cs="Arial"/>
          <w:b/>
          <w:sz w:val="22"/>
          <w:szCs w:val="22"/>
          <w:lang w:val="en-ZA"/>
        </w:rPr>
        <w:t>3733.</w:t>
      </w:r>
      <w:r w:rsidRPr="00BF7938">
        <w:rPr>
          <w:rFonts w:ascii="Arial" w:eastAsia="Calibri" w:hAnsi="Arial" w:cs="Arial"/>
          <w:b/>
          <w:sz w:val="22"/>
          <w:szCs w:val="22"/>
          <w:lang w:val="en-ZA"/>
        </w:rPr>
        <w:tab/>
      </w:r>
      <w:r w:rsidRPr="00BF7938">
        <w:rPr>
          <w:rFonts w:ascii="Arial" w:eastAsia="Calibri" w:hAnsi="Arial" w:cs="Arial"/>
          <w:b/>
          <w:sz w:val="22"/>
          <w:szCs w:val="22"/>
          <w:lang w:val="en-GB"/>
        </w:rPr>
        <w:t>Mr L G Mokoena (EFF) to ask the Minister of Finance:</w:t>
      </w:r>
    </w:p>
    <w:p w:rsidR="00BF7938" w:rsidRPr="00BF7938" w:rsidRDefault="00BF7938" w:rsidP="00BF7938">
      <w:pPr>
        <w:spacing w:before="100" w:beforeAutospacing="1" w:after="100" w:afterAutospacing="1" w:line="276" w:lineRule="auto"/>
        <w:ind w:left="720" w:hanging="720"/>
        <w:jc w:val="both"/>
        <w:rPr>
          <w:rFonts w:ascii="Arial" w:eastAsia="Calibri" w:hAnsi="Arial" w:cs="Arial"/>
          <w:sz w:val="22"/>
          <w:szCs w:val="22"/>
          <w:lang w:val="en-GB"/>
        </w:rPr>
      </w:pPr>
      <w:r w:rsidRPr="00BF7938">
        <w:rPr>
          <w:rFonts w:ascii="Arial" w:eastAsia="Calibri" w:hAnsi="Arial" w:cs="Arial"/>
          <w:sz w:val="22"/>
          <w:szCs w:val="22"/>
          <w:lang w:val="en-GB"/>
        </w:rPr>
        <w:t>(1)</w:t>
      </w:r>
      <w:r w:rsidRPr="00BF7938">
        <w:rPr>
          <w:rFonts w:ascii="Arial" w:eastAsia="Calibri" w:hAnsi="Arial" w:cs="Arial"/>
          <w:sz w:val="22"/>
          <w:szCs w:val="22"/>
          <w:lang w:val="en-GB"/>
        </w:rPr>
        <w:tab/>
        <w:t>Whether, with reference to some of the departments in the Limpopo Provincial government that were placed under administration, any (a) officials from the (</w:t>
      </w:r>
      <w:proofErr w:type="spellStart"/>
      <w:r w:rsidRPr="00BF7938">
        <w:rPr>
          <w:rFonts w:ascii="Arial" w:eastAsia="Calibri" w:hAnsi="Arial" w:cs="Arial"/>
          <w:sz w:val="22"/>
          <w:szCs w:val="22"/>
          <w:lang w:val="en-GB"/>
        </w:rPr>
        <w:t>i</w:t>
      </w:r>
      <w:proofErr w:type="spellEnd"/>
      <w:r w:rsidRPr="00BF7938">
        <w:rPr>
          <w:rFonts w:ascii="Arial" w:eastAsia="Calibri" w:hAnsi="Arial" w:cs="Arial"/>
          <w:sz w:val="22"/>
          <w:szCs w:val="22"/>
          <w:lang w:val="en-GB"/>
        </w:rPr>
        <w:t>) National Treasury and/or SA Revenue Service and/or (b) consultants appointed by the Minister of Finance were part of the team that worked in order to get the province out of administration; if not, what is the position in this regard; if so, (</w:t>
      </w:r>
      <w:proofErr w:type="spellStart"/>
      <w:r w:rsidRPr="00BF7938">
        <w:rPr>
          <w:rFonts w:ascii="Arial" w:eastAsia="Calibri" w:hAnsi="Arial" w:cs="Arial"/>
          <w:sz w:val="22"/>
          <w:szCs w:val="22"/>
          <w:lang w:val="en-GB"/>
        </w:rPr>
        <w:t>i</w:t>
      </w:r>
      <w:proofErr w:type="spellEnd"/>
      <w:r w:rsidRPr="00BF7938">
        <w:rPr>
          <w:rFonts w:ascii="Arial" w:eastAsia="Calibri" w:hAnsi="Arial" w:cs="Arial"/>
          <w:sz w:val="22"/>
          <w:szCs w:val="22"/>
          <w:lang w:val="en-GB"/>
        </w:rPr>
        <w:t>) what is the name of each official and/or consultant, (ii) on what date was each official and/or consultant appointed, (iii) what position did each official and/or consultant occupy and (iv) what were the responsibilities of each official and/or consultant;</w:t>
      </w:r>
    </w:p>
    <w:p w:rsidR="00BF7938" w:rsidRPr="00BF7938" w:rsidRDefault="00BF7938" w:rsidP="00BF7938">
      <w:pPr>
        <w:spacing w:before="100" w:beforeAutospacing="1" w:after="100" w:afterAutospacing="1" w:line="276" w:lineRule="auto"/>
        <w:ind w:left="720" w:hanging="720"/>
        <w:jc w:val="both"/>
        <w:rPr>
          <w:rFonts w:ascii="Arial" w:eastAsia="Calibri" w:hAnsi="Arial" w:cs="Arial"/>
          <w:sz w:val="22"/>
          <w:szCs w:val="22"/>
          <w:lang w:val="en-GB"/>
        </w:rPr>
      </w:pPr>
      <w:r w:rsidRPr="00BF7938">
        <w:rPr>
          <w:rFonts w:ascii="Arial" w:eastAsia="Calibri" w:hAnsi="Arial" w:cs="Arial"/>
          <w:sz w:val="22"/>
          <w:szCs w:val="22"/>
          <w:lang w:val="en-GB"/>
        </w:rPr>
        <w:t>(2)</w:t>
      </w:r>
      <w:r w:rsidRPr="00BF7938">
        <w:rPr>
          <w:rFonts w:ascii="Arial" w:eastAsia="Calibri" w:hAnsi="Arial" w:cs="Arial"/>
          <w:sz w:val="22"/>
          <w:szCs w:val="22"/>
          <w:lang w:val="en-GB"/>
        </w:rPr>
        <w:tab/>
        <w:t>whether the Public Affairs Research Institute worked with the administrator and the National Treasury as part of the team that worked for the Government when the Limpopo provincial department of health was placed under administration; if not, what is the position in this regard; if so, what are the relevant details?</w:t>
      </w:r>
      <w:r w:rsidRPr="00BF7938">
        <w:rPr>
          <w:rFonts w:ascii="Arial" w:eastAsia="Calibri" w:hAnsi="Arial" w:cs="Arial"/>
          <w:sz w:val="22"/>
          <w:szCs w:val="22"/>
          <w:lang w:val="en-GB"/>
        </w:rPr>
        <w:tab/>
      </w:r>
      <w:r w:rsidRPr="00BF7938">
        <w:rPr>
          <w:rFonts w:ascii="Arial" w:eastAsia="Calibri" w:hAnsi="Arial" w:cs="Arial"/>
          <w:sz w:val="22"/>
          <w:szCs w:val="22"/>
          <w:lang w:val="en-GB"/>
        </w:rPr>
        <w:tab/>
      </w:r>
      <w:r w:rsidRPr="00BF7938">
        <w:rPr>
          <w:rFonts w:ascii="Arial" w:eastAsia="Calibri" w:hAnsi="Arial" w:cs="Arial"/>
          <w:sz w:val="22"/>
          <w:szCs w:val="22"/>
          <w:lang w:val="en-GB"/>
        </w:rPr>
        <w:tab/>
      </w:r>
      <w:r w:rsidRPr="00BF7938">
        <w:rPr>
          <w:rFonts w:ascii="Arial" w:eastAsia="Calibri" w:hAnsi="Arial" w:cs="Arial"/>
          <w:sz w:val="22"/>
          <w:szCs w:val="22"/>
          <w:lang w:val="en-GB"/>
        </w:rPr>
        <w:tab/>
      </w:r>
      <w:r w:rsidRPr="00BF7938">
        <w:rPr>
          <w:rFonts w:ascii="Arial" w:eastAsia="Calibri" w:hAnsi="Arial" w:cs="Arial"/>
          <w:sz w:val="22"/>
          <w:szCs w:val="22"/>
          <w:lang w:val="en-GB"/>
        </w:rPr>
        <w:tab/>
      </w:r>
      <w:r w:rsidRPr="00BF7938">
        <w:rPr>
          <w:rFonts w:ascii="Arial" w:eastAsia="Calibri" w:hAnsi="Arial" w:cs="Arial"/>
          <w:sz w:val="22"/>
          <w:szCs w:val="22"/>
          <w:lang w:val="en-GB"/>
        </w:rPr>
        <w:tab/>
      </w:r>
      <w:r w:rsidRPr="00BF7938">
        <w:rPr>
          <w:rFonts w:ascii="Arial" w:eastAsia="Calibri" w:hAnsi="Arial" w:cs="Arial"/>
          <w:sz w:val="22"/>
          <w:szCs w:val="22"/>
          <w:lang w:val="en-GB"/>
        </w:rPr>
        <w:tab/>
      </w:r>
      <w:r w:rsidRPr="00BF7938">
        <w:rPr>
          <w:rFonts w:ascii="Arial" w:eastAsia="Calibri" w:hAnsi="Arial" w:cs="Arial"/>
          <w:sz w:val="22"/>
          <w:szCs w:val="22"/>
          <w:lang w:val="en-GB"/>
        </w:rPr>
        <w:tab/>
      </w:r>
      <w:r w:rsidRPr="00BF7938">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F7938">
        <w:rPr>
          <w:rFonts w:ascii="Arial" w:eastAsia="Calibri" w:hAnsi="Arial" w:cs="Arial"/>
          <w:sz w:val="22"/>
          <w:szCs w:val="22"/>
          <w:lang w:val="en-GB"/>
        </w:rPr>
        <w:t>NW4309E</w:t>
      </w:r>
    </w:p>
    <w:p w:rsidR="00A11CD8" w:rsidRPr="00B74C99" w:rsidRDefault="002A4EE6" w:rsidP="00B74C99">
      <w:pPr>
        <w:tabs>
          <w:tab w:val="left" w:pos="432"/>
          <w:tab w:val="left" w:pos="864"/>
        </w:tabs>
        <w:spacing w:line="276" w:lineRule="auto"/>
        <w:rPr>
          <w:rFonts w:ascii="Arial" w:hAnsi="Arial" w:cs="Arial"/>
          <w:b/>
          <w:sz w:val="22"/>
          <w:szCs w:val="22"/>
        </w:rPr>
      </w:pPr>
      <w:r w:rsidRPr="00B74C99">
        <w:rPr>
          <w:rFonts w:ascii="Arial" w:hAnsi="Arial" w:cs="Arial"/>
          <w:b/>
          <w:sz w:val="22"/>
          <w:szCs w:val="22"/>
        </w:rPr>
        <w:t xml:space="preserve">REPLY </w:t>
      </w:r>
    </w:p>
    <w:p w:rsidR="002A4EE6" w:rsidRPr="00B74C99" w:rsidRDefault="002A4EE6" w:rsidP="00B74C99">
      <w:pPr>
        <w:tabs>
          <w:tab w:val="left" w:pos="432"/>
          <w:tab w:val="left" w:pos="864"/>
        </w:tabs>
        <w:spacing w:line="276" w:lineRule="auto"/>
        <w:rPr>
          <w:rFonts w:ascii="Arial" w:hAnsi="Arial" w:cs="Arial"/>
          <w:sz w:val="22"/>
          <w:szCs w:val="22"/>
        </w:rPr>
      </w:pPr>
    </w:p>
    <w:p w:rsidR="003459A5" w:rsidRPr="00597D58" w:rsidRDefault="00565C1A" w:rsidP="00565C1A">
      <w:pPr>
        <w:tabs>
          <w:tab w:val="left" w:pos="1134"/>
        </w:tabs>
        <w:spacing w:before="100" w:beforeAutospacing="1" w:after="100" w:afterAutospacing="1" w:line="276" w:lineRule="auto"/>
        <w:ind w:left="1134" w:hanging="1134"/>
        <w:jc w:val="both"/>
        <w:rPr>
          <w:rFonts w:ascii="Arial" w:eastAsia="Calibri" w:hAnsi="Arial" w:cs="Arial"/>
          <w:color w:val="000000" w:themeColor="text1"/>
          <w:sz w:val="22"/>
          <w:szCs w:val="22"/>
          <w:lang w:val="en-GB"/>
        </w:rPr>
      </w:pPr>
      <w:r w:rsidRPr="0026524F">
        <w:rPr>
          <w:rStyle w:val="CharChar"/>
          <w:rFonts w:eastAsia="Calibri"/>
        </w:rPr>
        <w:t>(1)(a)(</w:t>
      </w:r>
      <w:proofErr w:type="spellStart"/>
      <w:r w:rsidRPr="0026524F">
        <w:rPr>
          <w:rStyle w:val="CharChar"/>
          <w:rFonts w:eastAsia="Calibri"/>
        </w:rPr>
        <w:t>i</w:t>
      </w:r>
      <w:proofErr w:type="spellEnd"/>
      <w:r w:rsidRPr="0026524F">
        <w:rPr>
          <w:rStyle w:val="CharChar"/>
          <w:rFonts w:eastAsia="Calibri"/>
        </w:rPr>
        <w:t>)</w:t>
      </w:r>
      <w:r w:rsidRPr="0026524F">
        <w:rPr>
          <w:rStyle w:val="CharChar"/>
          <w:rFonts w:eastAsia="Calibri"/>
        </w:rPr>
        <w:tab/>
      </w:r>
      <w:r w:rsidR="003459A5" w:rsidRPr="0026524F">
        <w:rPr>
          <w:rStyle w:val="CharChar"/>
          <w:rFonts w:eastAsia="Calibri"/>
        </w:rPr>
        <w:t xml:space="preserve">The Minister of Finance appointed Dr Monde Tom, as the Accounting Officer for Provincial Treasury in terms of section 36(3) of the Public Finance Management Act, 1999 (Act No. 01 of 1999).  This Head official of Provincial Treasury [Accounting Officer] was also the lead coordinator [Chief Administrator] of the overall intervention team.  </w:t>
      </w:r>
      <w:r w:rsidR="0082088A" w:rsidRPr="0026524F">
        <w:rPr>
          <w:rStyle w:val="CharChar"/>
          <w:rFonts w:eastAsia="Calibri"/>
        </w:rPr>
        <w:t xml:space="preserve">In turn, Dr Tom, as the lead administrator, was supported by a team of treasury officials who were seconded to the Limpopo Provincial Treasury to lead line function programmes.  These officials are, Mr </w:t>
      </w:r>
      <w:proofErr w:type="spellStart"/>
      <w:r w:rsidR="0082088A" w:rsidRPr="0026524F">
        <w:rPr>
          <w:rStyle w:val="CharChar"/>
          <w:rFonts w:eastAsia="Calibri"/>
        </w:rPr>
        <w:t>Khaya</w:t>
      </w:r>
      <w:proofErr w:type="spellEnd"/>
      <w:r w:rsidR="0082088A" w:rsidRPr="0026524F">
        <w:rPr>
          <w:rStyle w:val="CharChar"/>
          <w:rFonts w:eastAsia="Calibri"/>
        </w:rPr>
        <w:t xml:space="preserve"> </w:t>
      </w:r>
      <w:proofErr w:type="spellStart"/>
      <w:r w:rsidR="0082088A" w:rsidRPr="0026524F">
        <w:rPr>
          <w:rStyle w:val="CharChar"/>
          <w:rFonts w:eastAsia="Calibri"/>
        </w:rPr>
        <w:t>Ntimbela</w:t>
      </w:r>
      <w:proofErr w:type="spellEnd"/>
      <w:r w:rsidR="0082088A" w:rsidRPr="0026524F">
        <w:rPr>
          <w:rStyle w:val="CharChar"/>
          <w:rFonts w:eastAsia="Calibri"/>
        </w:rPr>
        <w:t xml:space="preserve"> [Sustainable Resource Management]; Mr </w:t>
      </w:r>
      <w:proofErr w:type="spellStart"/>
      <w:r w:rsidR="0082088A" w:rsidRPr="0026524F">
        <w:rPr>
          <w:rStyle w:val="CharChar"/>
          <w:rFonts w:eastAsia="Calibri"/>
        </w:rPr>
        <w:t>Ndoda</w:t>
      </w:r>
      <w:proofErr w:type="spellEnd"/>
      <w:r w:rsidR="0082088A" w:rsidRPr="0026524F">
        <w:rPr>
          <w:rStyle w:val="CharChar"/>
          <w:rFonts w:eastAsia="Calibri"/>
        </w:rPr>
        <w:t xml:space="preserve"> </w:t>
      </w:r>
      <w:proofErr w:type="spellStart"/>
      <w:r w:rsidR="0082088A" w:rsidRPr="0026524F">
        <w:rPr>
          <w:rStyle w:val="CharChar"/>
          <w:rFonts w:eastAsia="Calibri"/>
        </w:rPr>
        <w:t>Biyela</w:t>
      </w:r>
      <w:proofErr w:type="spellEnd"/>
      <w:r w:rsidR="0082088A" w:rsidRPr="0026524F">
        <w:rPr>
          <w:rStyle w:val="CharChar"/>
          <w:rFonts w:eastAsia="Calibri"/>
        </w:rPr>
        <w:t xml:space="preserve"> [Assets, Liability and Transversal SCM]; Mr </w:t>
      </w:r>
      <w:proofErr w:type="spellStart"/>
      <w:r w:rsidR="0082088A" w:rsidRPr="0026524F">
        <w:rPr>
          <w:rStyle w:val="CharChar"/>
          <w:rFonts w:eastAsia="Calibri"/>
        </w:rPr>
        <w:t>Mbuyi</w:t>
      </w:r>
      <w:proofErr w:type="spellEnd"/>
      <w:r w:rsidR="0082088A" w:rsidRPr="0026524F">
        <w:rPr>
          <w:rStyle w:val="CharChar"/>
          <w:rFonts w:eastAsia="Calibri"/>
        </w:rPr>
        <w:t xml:space="preserve"> </w:t>
      </w:r>
      <w:proofErr w:type="spellStart"/>
      <w:r w:rsidR="0082088A" w:rsidRPr="0026524F">
        <w:rPr>
          <w:rStyle w:val="CharChar"/>
          <w:rFonts w:eastAsia="Calibri"/>
        </w:rPr>
        <w:t>Dondashe</w:t>
      </w:r>
      <w:proofErr w:type="spellEnd"/>
      <w:r w:rsidR="0082088A" w:rsidRPr="0026524F">
        <w:rPr>
          <w:rStyle w:val="CharChar"/>
          <w:rFonts w:eastAsia="Calibri"/>
        </w:rPr>
        <w:t xml:space="preserve"> [Financial Governance]; Ms </w:t>
      </w:r>
      <w:proofErr w:type="spellStart"/>
      <w:r w:rsidR="0082088A" w:rsidRPr="0026524F">
        <w:rPr>
          <w:rStyle w:val="CharChar"/>
          <w:rFonts w:eastAsia="Calibri"/>
        </w:rPr>
        <w:t>Venita</w:t>
      </w:r>
      <w:proofErr w:type="spellEnd"/>
      <w:r w:rsidR="0082088A" w:rsidRPr="0026524F">
        <w:rPr>
          <w:rStyle w:val="CharChar"/>
          <w:rFonts w:eastAsia="Calibri"/>
        </w:rPr>
        <w:t xml:space="preserve"> </w:t>
      </w:r>
      <w:proofErr w:type="spellStart"/>
      <w:r w:rsidR="0082088A" w:rsidRPr="0026524F">
        <w:rPr>
          <w:rStyle w:val="CharChar"/>
          <w:rFonts w:eastAsia="Calibri"/>
        </w:rPr>
        <w:t>Haupt</w:t>
      </w:r>
      <w:proofErr w:type="spellEnd"/>
      <w:r w:rsidR="0082088A" w:rsidRPr="0026524F">
        <w:rPr>
          <w:rStyle w:val="CharChar"/>
          <w:rFonts w:eastAsia="Calibri"/>
        </w:rPr>
        <w:t xml:space="preserve"> [Corporate Services]; and Mr Siphiwe Ndlovu [Intervention Secretariat and Liaison Head Official], but later seconded to lead Corporate Services.  </w:t>
      </w:r>
      <w:r w:rsidR="0082088A" w:rsidRPr="00597D58">
        <w:rPr>
          <w:rFonts w:ascii="Arial" w:eastAsia="Calibri" w:hAnsi="Arial" w:cs="Arial"/>
          <w:color w:val="000000" w:themeColor="text1"/>
          <w:sz w:val="22"/>
          <w:szCs w:val="22"/>
          <w:lang w:val="en-GB"/>
        </w:rPr>
        <w:t>.</w:t>
      </w:r>
      <w:r w:rsidR="003459A5" w:rsidRPr="00597D58">
        <w:rPr>
          <w:rFonts w:ascii="Arial" w:eastAsia="Calibri" w:hAnsi="Arial" w:cs="Arial"/>
          <w:color w:val="000000" w:themeColor="text1"/>
          <w:sz w:val="22"/>
          <w:szCs w:val="22"/>
          <w:lang w:val="en-GB"/>
        </w:rPr>
        <w:t>Other officials appointed in terms of section 36(3) as Accounting Officers, included the administrators in Education, Roads and Transport, as well as Public Works departments, with the exception of the Health administrator, whose appointment did not include the replacement, but to support the then Head of Department [Accounting Officer], who had recently been appointed.</w:t>
      </w:r>
    </w:p>
    <w:p w:rsidR="0082088A" w:rsidRPr="0026524F" w:rsidRDefault="0082088A" w:rsidP="0026524F">
      <w:pPr>
        <w:pStyle w:val="ListParagraph"/>
        <w:spacing w:before="100" w:after="100" w:line="276" w:lineRule="auto"/>
        <w:ind w:left="1134"/>
        <w:jc w:val="both"/>
        <w:rPr>
          <w:rFonts w:ascii="Arial" w:eastAsia="Calibri" w:hAnsi="Arial" w:cs="Arial"/>
          <w:sz w:val="22"/>
          <w:szCs w:val="22"/>
          <w:lang w:val="en-GB"/>
        </w:rPr>
      </w:pPr>
      <w:r w:rsidRPr="0026524F">
        <w:rPr>
          <w:rFonts w:ascii="Arial" w:eastAsia="Calibri" w:hAnsi="Arial" w:cs="Arial"/>
          <w:sz w:val="22"/>
          <w:szCs w:val="22"/>
          <w:lang w:val="en-GB"/>
        </w:rPr>
        <w:t>The South African Revenue Services (SARS) was working with Office of the Chief Procurement Officer in the National Treasury to support procurement reforms.</w:t>
      </w:r>
    </w:p>
    <w:p w:rsidR="0082088A" w:rsidRDefault="0082088A" w:rsidP="0082088A">
      <w:pPr>
        <w:pStyle w:val="ListParagraph"/>
        <w:spacing w:before="100" w:beforeAutospacing="1" w:after="100" w:afterAutospacing="1" w:line="276" w:lineRule="auto"/>
        <w:ind w:left="1440"/>
        <w:jc w:val="both"/>
        <w:rPr>
          <w:rFonts w:ascii="Arial" w:eastAsia="Calibri" w:hAnsi="Arial" w:cs="Arial"/>
          <w:sz w:val="22"/>
          <w:szCs w:val="22"/>
          <w:lang w:val="en-GB"/>
        </w:rPr>
      </w:pPr>
    </w:p>
    <w:p w:rsidR="00565C1A" w:rsidRPr="0026524F" w:rsidRDefault="00565C1A" w:rsidP="00565C1A">
      <w:pPr>
        <w:pStyle w:val="ListParagraph"/>
        <w:spacing w:before="100" w:beforeAutospacing="1" w:after="100" w:afterAutospacing="1" w:line="276" w:lineRule="auto"/>
        <w:ind w:left="1134" w:hanging="1134"/>
        <w:jc w:val="both"/>
        <w:rPr>
          <w:rStyle w:val="CharChar"/>
          <w:rFonts w:eastAsia="Calibri"/>
        </w:rPr>
      </w:pPr>
      <w:r w:rsidRPr="0026524F">
        <w:rPr>
          <w:rStyle w:val="CharChar"/>
          <w:rFonts w:eastAsia="Calibri"/>
        </w:rPr>
        <w:t>(1)(b)(</w:t>
      </w:r>
      <w:proofErr w:type="spellStart"/>
      <w:r w:rsidRPr="0026524F">
        <w:rPr>
          <w:rStyle w:val="CharChar"/>
          <w:rFonts w:eastAsia="Calibri"/>
        </w:rPr>
        <w:t>i</w:t>
      </w:r>
      <w:proofErr w:type="spellEnd"/>
      <w:r w:rsidRPr="0026524F">
        <w:rPr>
          <w:rStyle w:val="CharChar"/>
          <w:rFonts w:eastAsia="Calibri"/>
        </w:rPr>
        <w:t>)</w:t>
      </w:r>
      <w:r w:rsidRPr="0026524F">
        <w:rPr>
          <w:rStyle w:val="CharChar"/>
          <w:rFonts w:eastAsia="Calibri"/>
        </w:rPr>
        <w:tab/>
        <w:t>The Director-General of the National Treasury appointed consultants such as Deloitte, ESP Consulting, Price Waterhouse Cooper (PwC)</w:t>
      </w:r>
      <w:r w:rsidR="00E45352" w:rsidRPr="0026524F">
        <w:rPr>
          <w:rStyle w:val="CharChar"/>
          <w:rFonts w:eastAsia="Calibri"/>
        </w:rPr>
        <w:t>,</w:t>
      </w:r>
      <w:r w:rsidR="00E45352" w:rsidRPr="00E45352">
        <w:t xml:space="preserve"> </w:t>
      </w:r>
      <w:r w:rsidR="00E45352" w:rsidRPr="0026524F">
        <w:rPr>
          <w:rStyle w:val="CharChar"/>
          <w:rFonts w:eastAsia="Calibri"/>
        </w:rPr>
        <w:t xml:space="preserve">Edward Nathan </w:t>
      </w:r>
      <w:proofErr w:type="spellStart"/>
      <w:r w:rsidR="00E45352" w:rsidRPr="0026524F">
        <w:rPr>
          <w:rStyle w:val="CharChar"/>
          <w:rFonts w:eastAsia="Calibri"/>
        </w:rPr>
        <w:t>Sonnenbergs</w:t>
      </w:r>
      <w:proofErr w:type="spellEnd"/>
      <w:r w:rsidRPr="0026524F">
        <w:rPr>
          <w:rStyle w:val="CharChar"/>
          <w:rFonts w:eastAsia="Calibri"/>
        </w:rPr>
        <w:t xml:space="preserve"> and Sizwe </w:t>
      </w:r>
      <w:proofErr w:type="spellStart"/>
      <w:r w:rsidRPr="0026524F">
        <w:rPr>
          <w:rStyle w:val="CharChar"/>
          <w:rFonts w:eastAsia="Calibri"/>
        </w:rPr>
        <w:t>Ntsaluba</w:t>
      </w:r>
      <w:proofErr w:type="spellEnd"/>
      <w:r w:rsidRPr="0026524F">
        <w:rPr>
          <w:rStyle w:val="CharChar"/>
          <w:rFonts w:eastAsia="Calibri"/>
        </w:rPr>
        <w:t xml:space="preserve"> </w:t>
      </w:r>
      <w:proofErr w:type="spellStart"/>
      <w:r w:rsidRPr="0026524F">
        <w:rPr>
          <w:rStyle w:val="CharChar"/>
          <w:rFonts w:eastAsia="Calibri"/>
        </w:rPr>
        <w:t>Gobodo</w:t>
      </w:r>
      <w:proofErr w:type="spellEnd"/>
      <w:r w:rsidRPr="0026524F">
        <w:rPr>
          <w:rStyle w:val="CharChar"/>
          <w:rFonts w:eastAsia="Calibri"/>
        </w:rPr>
        <w:t xml:space="preserve"> Auditors.</w:t>
      </w:r>
    </w:p>
    <w:p w:rsidR="00565C1A" w:rsidRDefault="00565C1A" w:rsidP="003459A5">
      <w:pPr>
        <w:pStyle w:val="ListParagraph"/>
        <w:spacing w:before="100" w:beforeAutospacing="1" w:after="100" w:afterAutospacing="1" w:line="276" w:lineRule="auto"/>
        <w:ind w:left="1440"/>
        <w:jc w:val="both"/>
        <w:rPr>
          <w:rFonts w:ascii="Arial" w:eastAsia="Calibri" w:hAnsi="Arial" w:cs="Arial"/>
          <w:sz w:val="22"/>
          <w:szCs w:val="22"/>
          <w:lang w:val="en-GB"/>
        </w:rPr>
      </w:pPr>
    </w:p>
    <w:p w:rsidR="00592137" w:rsidRDefault="00592137" w:rsidP="00592137">
      <w:pPr>
        <w:pStyle w:val="ListParagraph"/>
        <w:spacing w:before="100" w:beforeAutospacing="1" w:after="100" w:afterAutospacing="1" w:line="276" w:lineRule="auto"/>
        <w:ind w:left="1134" w:hanging="1134"/>
        <w:jc w:val="both"/>
        <w:rPr>
          <w:rFonts w:ascii="Arial" w:eastAsia="Calibri" w:hAnsi="Arial" w:cs="Arial"/>
          <w:sz w:val="22"/>
          <w:szCs w:val="22"/>
          <w:lang w:val="en-GB"/>
        </w:rPr>
      </w:pPr>
      <w:r>
        <w:rPr>
          <w:rFonts w:ascii="Arial" w:eastAsia="Calibri" w:hAnsi="Arial" w:cs="Arial"/>
          <w:sz w:val="22"/>
          <w:szCs w:val="22"/>
          <w:lang w:val="en-GB"/>
        </w:rPr>
        <w:t>(1)(b)(ii)</w:t>
      </w:r>
      <w:r>
        <w:rPr>
          <w:rFonts w:ascii="Arial" w:eastAsia="Calibri" w:hAnsi="Arial" w:cs="Arial"/>
          <w:sz w:val="22"/>
          <w:szCs w:val="22"/>
          <w:lang w:val="en-GB"/>
        </w:rPr>
        <w:tab/>
      </w:r>
      <w:r w:rsidR="0082088A" w:rsidRPr="0082088A">
        <w:rPr>
          <w:rFonts w:ascii="Arial" w:eastAsia="Calibri" w:hAnsi="Arial" w:cs="Arial"/>
          <w:sz w:val="22"/>
          <w:szCs w:val="22"/>
          <w:lang w:val="en-GB"/>
        </w:rPr>
        <w:t>The timeframes for the appointments of</w:t>
      </w:r>
      <w:r w:rsidR="0082088A">
        <w:rPr>
          <w:rFonts w:ascii="Arial" w:eastAsia="Calibri" w:hAnsi="Arial" w:cs="Arial"/>
          <w:sz w:val="22"/>
          <w:szCs w:val="22"/>
          <w:lang w:val="en-GB"/>
        </w:rPr>
        <w:t xml:space="preserve"> the</w:t>
      </w:r>
      <w:r w:rsidR="0082088A" w:rsidRPr="0082088A">
        <w:rPr>
          <w:rFonts w:ascii="Arial" w:eastAsia="Calibri" w:hAnsi="Arial" w:cs="Arial"/>
          <w:sz w:val="22"/>
          <w:szCs w:val="22"/>
          <w:lang w:val="en-GB"/>
        </w:rPr>
        <w:t xml:space="preserve"> administrators and the secondment of support teams, as well as consultants, ranged from immediate to different intervals</w:t>
      </w:r>
      <w:r w:rsidR="0082088A">
        <w:rPr>
          <w:rFonts w:ascii="Arial" w:eastAsia="Calibri" w:hAnsi="Arial" w:cs="Arial"/>
          <w:sz w:val="22"/>
          <w:szCs w:val="22"/>
          <w:lang w:val="en-GB"/>
        </w:rPr>
        <w:t>.</w:t>
      </w:r>
    </w:p>
    <w:p w:rsidR="00592137" w:rsidRDefault="00592137" w:rsidP="003459A5">
      <w:pPr>
        <w:pStyle w:val="ListParagraph"/>
        <w:spacing w:before="100" w:beforeAutospacing="1" w:after="100" w:afterAutospacing="1" w:line="276" w:lineRule="auto"/>
        <w:ind w:left="1440"/>
        <w:jc w:val="both"/>
        <w:rPr>
          <w:rFonts w:ascii="Arial" w:eastAsia="Calibri" w:hAnsi="Arial" w:cs="Arial"/>
          <w:sz w:val="22"/>
          <w:szCs w:val="22"/>
          <w:lang w:val="en-GB"/>
        </w:rPr>
      </w:pPr>
    </w:p>
    <w:p w:rsidR="000B3F46" w:rsidRDefault="0082088A" w:rsidP="0082088A">
      <w:pPr>
        <w:pStyle w:val="ListParagraph"/>
        <w:spacing w:before="100" w:beforeAutospacing="1" w:after="100" w:afterAutospacing="1" w:line="276" w:lineRule="auto"/>
        <w:ind w:left="1134" w:hanging="1134"/>
        <w:jc w:val="both"/>
        <w:rPr>
          <w:rFonts w:ascii="Arial" w:eastAsia="Calibri" w:hAnsi="Arial" w:cs="Arial"/>
          <w:sz w:val="22"/>
          <w:szCs w:val="22"/>
          <w:lang w:val="en-GB"/>
        </w:rPr>
      </w:pPr>
      <w:r>
        <w:rPr>
          <w:rFonts w:ascii="Arial" w:eastAsia="Calibri" w:hAnsi="Arial" w:cs="Arial"/>
          <w:sz w:val="22"/>
          <w:szCs w:val="22"/>
          <w:lang w:val="en-GB"/>
        </w:rPr>
        <w:t>(1)(b)(iii)</w:t>
      </w:r>
      <w:r>
        <w:rPr>
          <w:rFonts w:ascii="Arial" w:eastAsia="Calibri" w:hAnsi="Arial" w:cs="Arial"/>
          <w:sz w:val="22"/>
          <w:szCs w:val="22"/>
          <w:lang w:val="en-GB"/>
        </w:rPr>
        <w:tab/>
      </w:r>
      <w:r w:rsidRPr="0082088A">
        <w:rPr>
          <w:rFonts w:ascii="Arial" w:eastAsia="Calibri" w:hAnsi="Arial" w:cs="Arial"/>
          <w:sz w:val="22"/>
          <w:szCs w:val="22"/>
          <w:lang w:val="en-GB"/>
        </w:rPr>
        <w:t xml:space="preserve">The treasury officials </w:t>
      </w:r>
      <w:r>
        <w:rPr>
          <w:rFonts w:ascii="Arial" w:eastAsia="Calibri" w:hAnsi="Arial" w:cs="Arial"/>
          <w:sz w:val="22"/>
          <w:szCs w:val="22"/>
          <w:lang w:val="en-GB"/>
        </w:rPr>
        <w:t>listed in paragraph (1)(a)(</w:t>
      </w:r>
      <w:proofErr w:type="spellStart"/>
      <w:r>
        <w:rPr>
          <w:rFonts w:ascii="Arial" w:eastAsia="Calibri" w:hAnsi="Arial" w:cs="Arial"/>
          <w:sz w:val="22"/>
          <w:szCs w:val="22"/>
          <w:lang w:val="en-GB"/>
        </w:rPr>
        <w:t>i</w:t>
      </w:r>
      <w:proofErr w:type="spellEnd"/>
      <w:r>
        <w:rPr>
          <w:rFonts w:ascii="Arial" w:eastAsia="Calibri" w:hAnsi="Arial" w:cs="Arial"/>
          <w:sz w:val="22"/>
          <w:szCs w:val="22"/>
          <w:lang w:val="en-GB"/>
        </w:rPr>
        <w:t>)</w:t>
      </w:r>
      <w:r w:rsidRPr="0082088A">
        <w:rPr>
          <w:rFonts w:ascii="Arial" w:eastAsia="Calibri" w:hAnsi="Arial" w:cs="Arial"/>
          <w:sz w:val="22"/>
          <w:szCs w:val="22"/>
          <w:lang w:val="en-GB"/>
        </w:rPr>
        <w:t xml:space="preserve"> above were tasked to lead line function programmes</w:t>
      </w:r>
      <w:r w:rsidR="00597D58">
        <w:rPr>
          <w:rFonts w:ascii="Arial" w:eastAsia="Calibri" w:hAnsi="Arial" w:cs="Arial"/>
          <w:sz w:val="22"/>
          <w:szCs w:val="22"/>
          <w:lang w:val="en-GB"/>
        </w:rPr>
        <w:t xml:space="preserve"> in provincial treasury</w:t>
      </w:r>
      <w:r w:rsidRPr="0082088A">
        <w:rPr>
          <w:rFonts w:ascii="Arial" w:eastAsia="Calibri" w:hAnsi="Arial" w:cs="Arial"/>
          <w:sz w:val="22"/>
          <w:szCs w:val="22"/>
          <w:lang w:val="en-GB"/>
        </w:rPr>
        <w:t xml:space="preserve"> at Deputy Director-General level</w:t>
      </w:r>
      <w:r>
        <w:rPr>
          <w:rFonts w:ascii="Arial" w:eastAsia="Calibri" w:hAnsi="Arial" w:cs="Arial"/>
          <w:sz w:val="22"/>
          <w:szCs w:val="22"/>
          <w:lang w:val="en-GB"/>
        </w:rPr>
        <w:t xml:space="preserve">.  </w:t>
      </w:r>
    </w:p>
    <w:p w:rsidR="000B3F46" w:rsidRDefault="000B3F46" w:rsidP="0082088A">
      <w:pPr>
        <w:pStyle w:val="ListParagraph"/>
        <w:spacing w:before="100" w:beforeAutospacing="1" w:after="100" w:afterAutospacing="1" w:line="276" w:lineRule="auto"/>
        <w:ind w:left="1134" w:hanging="1134"/>
        <w:jc w:val="both"/>
        <w:rPr>
          <w:rFonts w:ascii="Arial" w:eastAsia="Calibri" w:hAnsi="Arial" w:cs="Arial"/>
          <w:sz w:val="22"/>
          <w:szCs w:val="22"/>
          <w:lang w:val="en-GB"/>
        </w:rPr>
      </w:pPr>
    </w:p>
    <w:p w:rsidR="003459A5" w:rsidRPr="0082088A" w:rsidRDefault="000B3F46" w:rsidP="0082088A">
      <w:pPr>
        <w:pStyle w:val="ListParagraph"/>
        <w:spacing w:before="100" w:beforeAutospacing="1" w:after="100" w:afterAutospacing="1" w:line="276" w:lineRule="auto"/>
        <w:ind w:left="1134" w:hanging="1134"/>
        <w:jc w:val="both"/>
        <w:rPr>
          <w:rFonts w:ascii="Arial" w:eastAsia="Calibri" w:hAnsi="Arial" w:cs="Arial"/>
          <w:sz w:val="22"/>
          <w:szCs w:val="22"/>
          <w:lang w:val="en-GB"/>
        </w:rPr>
      </w:pPr>
      <w:r>
        <w:rPr>
          <w:rFonts w:ascii="Arial" w:eastAsia="Calibri" w:hAnsi="Arial" w:cs="Arial"/>
          <w:sz w:val="22"/>
          <w:szCs w:val="22"/>
          <w:lang w:val="en-GB"/>
        </w:rPr>
        <w:t>(1)(b)(iv)</w:t>
      </w:r>
      <w:r>
        <w:rPr>
          <w:rFonts w:ascii="Arial" w:eastAsia="Calibri" w:hAnsi="Arial" w:cs="Arial"/>
          <w:sz w:val="22"/>
          <w:szCs w:val="22"/>
          <w:lang w:val="en-GB"/>
        </w:rPr>
        <w:tab/>
      </w:r>
      <w:r w:rsidR="003459A5" w:rsidRPr="0082088A">
        <w:rPr>
          <w:rFonts w:ascii="Arial" w:eastAsia="Calibri" w:hAnsi="Arial" w:cs="Arial"/>
          <w:sz w:val="22"/>
          <w:szCs w:val="22"/>
          <w:lang w:val="en-GB"/>
        </w:rPr>
        <w:t>The positions of these officials range</w:t>
      </w:r>
      <w:r w:rsidR="0082088A">
        <w:rPr>
          <w:rFonts w:ascii="Arial" w:eastAsia="Calibri" w:hAnsi="Arial" w:cs="Arial"/>
          <w:sz w:val="22"/>
          <w:szCs w:val="22"/>
          <w:lang w:val="en-GB"/>
        </w:rPr>
        <w:t>d</w:t>
      </w:r>
      <w:r w:rsidR="003459A5" w:rsidRPr="0082088A">
        <w:rPr>
          <w:rFonts w:ascii="Arial" w:eastAsia="Calibri" w:hAnsi="Arial" w:cs="Arial"/>
          <w:sz w:val="22"/>
          <w:szCs w:val="22"/>
          <w:lang w:val="en-GB"/>
        </w:rPr>
        <w:t xml:space="preserve"> from lead administrator – heading the intervention and </w:t>
      </w:r>
      <w:r w:rsidR="002B5958" w:rsidRPr="0082088A">
        <w:rPr>
          <w:rFonts w:ascii="Arial" w:eastAsia="Calibri" w:hAnsi="Arial" w:cs="Arial"/>
          <w:sz w:val="22"/>
          <w:szCs w:val="22"/>
          <w:lang w:val="en-GB"/>
        </w:rPr>
        <w:t>A</w:t>
      </w:r>
      <w:r w:rsidR="003459A5" w:rsidRPr="0082088A">
        <w:rPr>
          <w:rFonts w:ascii="Arial" w:eastAsia="Calibri" w:hAnsi="Arial" w:cs="Arial"/>
          <w:sz w:val="22"/>
          <w:szCs w:val="22"/>
          <w:lang w:val="en-GB"/>
        </w:rPr>
        <w:t xml:space="preserve">ccounting </w:t>
      </w:r>
      <w:r w:rsidR="002B5958" w:rsidRPr="0082088A">
        <w:rPr>
          <w:rFonts w:ascii="Arial" w:eastAsia="Calibri" w:hAnsi="Arial" w:cs="Arial"/>
          <w:sz w:val="22"/>
          <w:szCs w:val="22"/>
          <w:lang w:val="en-GB"/>
        </w:rPr>
        <w:t>O</w:t>
      </w:r>
      <w:r w:rsidR="003459A5" w:rsidRPr="0082088A">
        <w:rPr>
          <w:rFonts w:ascii="Arial" w:eastAsia="Calibri" w:hAnsi="Arial" w:cs="Arial"/>
          <w:sz w:val="22"/>
          <w:szCs w:val="22"/>
          <w:lang w:val="en-GB"/>
        </w:rPr>
        <w:t>fficer, supported by the heads of programmes [DDGs] to execute treasury functions in terms of section 18 of the PFMA.  These functions ranged from provincial budget preparation and oversight; revenue and cash</w:t>
      </w:r>
      <w:r w:rsidR="0082088A">
        <w:rPr>
          <w:rFonts w:ascii="Arial" w:eastAsia="Calibri" w:hAnsi="Arial" w:cs="Arial"/>
          <w:sz w:val="22"/>
          <w:szCs w:val="22"/>
          <w:lang w:val="en-GB"/>
        </w:rPr>
        <w:t xml:space="preserve"> management</w:t>
      </w:r>
      <w:r w:rsidR="003459A5" w:rsidRPr="0082088A">
        <w:rPr>
          <w:rFonts w:ascii="Arial" w:eastAsia="Calibri" w:hAnsi="Arial" w:cs="Arial"/>
          <w:sz w:val="22"/>
          <w:szCs w:val="22"/>
          <w:lang w:val="en-GB"/>
        </w:rPr>
        <w:t xml:space="preserve">, transversal </w:t>
      </w:r>
      <w:r w:rsidR="002B5958" w:rsidRPr="0082088A">
        <w:rPr>
          <w:rFonts w:ascii="Arial" w:eastAsia="Calibri" w:hAnsi="Arial" w:cs="Arial"/>
          <w:sz w:val="22"/>
          <w:szCs w:val="22"/>
          <w:lang w:val="en-GB"/>
        </w:rPr>
        <w:t>S</w:t>
      </w:r>
      <w:r w:rsidR="003459A5" w:rsidRPr="0082088A">
        <w:rPr>
          <w:rFonts w:ascii="Arial" w:eastAsia="Calibri" w:hAnsi="Arial" w:cs="Arial"/>
          <w:sz w:val="22"/>
          <w:szCs w:val="22"/>
          <w:lang w:val="en-GB"/>
        </w:rPr>
        <w:t xml:space="preserve">upply </w:t>
      </w:r>
      <w:r w:rsidR="002B5958" w:rsidRPr="0082088A">
        <w:rPr>
          <w:rFonts w:ascii="Arial" w:eastAsia="Calibri" w:hAnsi="Arial" w:cs="Arial"/>
          <w:sz w:val="22"/>
          <w:szCs w:val="22"/>
          <w:lang w:val="en-GB"/>
        </w:rPr>
        <w:t>C</w:t>
      </w:r>
      <w:r w:rsidR="003459A5" w:rsidRPr="0082088A">
        <w:rPr>
          <w:rFonts w:ascii="Arial" w:eastAsia="Calibri" w:hAnsi="Arial" w:cs="Arial"/>
          <w:sz w:val="22"/>
          <w:szCs w:val="22"/>
          <w:lang w:val="en-GB"/>
        </w:rPr>
        <w:t xml:space="preserve">hain </w:t>
      </w:r>
      <w:r w:rsidR="002B5958" w:rsidRPr="0082088A">
        <w:rPr>
          <w:rFonts w:ascii="Arial" w:eastAsia="Calibri" w:hAnsi="Arial" w:cs="Arial"/>
          <w:sz w:val="22"/>
          <w:szCs w:val="22"/>
          <w:lang w:val="en-GB"/>
        </w:rPr>
        <w:t>M</w:t>
      </w:r>
      <w:r w:rsidR="003459A5" w:rsidRPr="0082088A">
        <w:rPr>
          <w:rFonts w:ascii="Arial" w:eastAsia="Calibri" w:hAnsi="Arial" w:cs="Arial"/>
          <w:sz w:val="22"/>
          <w:szCs w:val="22"/>
          <w:lang w:val="en-GB"/>
        </w:rPr>
        <w:t xml:space="preserve">anagement; </w:t>
      </w:r>
      <w:r w:rsidR="002B5958" w:rsidRPr="0082088A">
        <w:rPr>
          <w:rFonts w:ascii="Arial" w:eastAsia="Calibri" w:hAnsi="Arial" w:cs="Arial"/>
          <w:sz w:val="22"/>
          <w:szCs w:val="22"/>
          <w:lang w:val="en-GB"/>
        </w:rPr>
        <w:t xml:space="preserve">overseeing of </w:t>
      </w:r>
      <w:r w:rsidR="003459A5" w:rsidRPr="0082088A">
        <w:rPr>
          <w:rFonts w:ascii="Arial" w:eastAsia="Calibri" w:hAnsi="Arial" w:cs="Arial"/>
          <w:sz w:val="22"/>
          <w:szCs w:val="22"/>
          <w:lang w:val="en-GB"/>
        </w:rPr>
        <w:t>financial governance issues, dealing with audit issues; corporate services, to day-to-day treasury operations [HR/M, legal services etc.]; as well as providing secretariat services and liaison with stakeholders supporting the intervention.</w:t>
      </w:r>
      <w:r w:rsidR="0061492C" w:rsidRPr="0061492C">
        <w:rPr>
          <w:rFonts w:ascii="Arial" w:eastAsia="Calibri" w:hAnsi="Arial" w:cs="Arial"/>
          <w:sz w:val="22"/>
          <w:szCs w:val="22"/>
          <w:lang w:val="en-GB"/>
        </w:rPr>
        <w:t xml:space="preserve"> </w:t>
      </w:r>
      <w:r w:rsidR="0061492C" w:rsidRPr="00301698">
        <w:rPr>
          <w:rFonts w:ascii="Arial" w:eastAsia="Calibri" w:hAnsi="Arial" w:cs="Arial"/>
          <w:sz w:val="22"/>
          <w:szCs w:val="22"/>
          <w:lang w:val="en-GB"/>
        </w:rPr>
        <w:t>Each administrator</w:t>
      </w:r>
      <w:r w:rsidR="0061492C">
        <w:rPr>
          <w:rFonts w:ascii="Arial" w:eastAsia="Calibri" w:hAnsi="Arial" w:cs="Arial"/>
          <w:sz w:val="22"/>
          <w:szCs w:val="22"/>
          <w:lang w:val="en-GB"/>
        </w:rPr>
        <w:t xml:space="preserve"> </w:t>
      </w:r>
      <w:r w:rsidR="0061492C" w:rsidRPr="00301698">
        <w:rPr>
          <w:rFonts w:ascii="Arial" w:eastAsia="Calibri" w:hAnsi="Arial" w:cs="Arial"/>
          <w:sz w:val="22"/>
          <w:szCs w:val="22"/>
          <w:lang w:val="en-GB"/>
        </w:rPr>
        <w:t xml:space="preserve">had a team of support staff </w:t>
      </w:r>
      <w:r w:rsidR="0061492C">
        <w:rPr>
          <w:rFonts w:ascii="Arial" w:eastAsia="Calibri" w:hAnsi="Arial" w:cs="Arial"/>
          <w:sz w:val="22"/>
          <w:szCs w:val="22"/>
          <w:lang w:val="en-GB"/>
        </w:rPr>
        <w:t>for effective implementation of the section 100(1)(b) intervention in each of the five provincial departments in Limpopo that were placed under administration.</w:t>
      </w:r>
    </w:p>
    <w:p w:rsidR="003459A5" w:rsidRPr="0026524F" w:rsidRDefault="003459A5" w:rsidP="003459A5">
      <w:pPr>
        <w:pStyle w:val="ListParagraph"/>
        <w:rPr>
          <w:rStyle w:val="CharChar"/>
          <w:rFonts w:eastAsia="Calibri"/>
        </w:rPr>
      </w:pPr>
    </w:p>
    <w:p w:rsidR="003459A5" w:rsidRPr="0026524F" w:rsidRDefault="003459A5" w:rsidP="0061492C">
      <w:pPr>
        <w:pStyle w:val="ListParagraph"/>
        <w:spacing w:before="100" w:beforeAutospacing="1" w:after="100" w:afterAutospacing="1" w:line="276" w:lineRule="auto"/>
        <w:ind w:left="1134"/>
        <w:jc w:val="both"/>
        <w:rPr>
          <w:rStyle w:val="CharChar"/>
          <w:rFonts w:eastAsia="Calibri"/>
        </w:rPr>
      </w:pPr>
      <w:r w:rsidRPr="0026524F">
        <w:rPr>
          <w:rStyle w:val="CharChar"/>
          <w:rFonts w:eastAsia="Calibri"/>
        </w:rPr>
        <w:t xml:space="preserve">The consultancy [Deloitte, ESP Consulting, PwC, </w:t>
      </w:r>
      <w:proofErr w:type="spellStart"/>
      <w:r w:rsidR="002B5958" w:rsidRPr="00E45352">
        <w:rPr>
          <w:rFonts w:ascii="Arial" w:hAnsi="Arial" w:cs="Arial"/>
          <w:bCs/>
          <w:color w:val="000000"/>
          <w:sz w:val="23"/>
          <w:szCs w:val="23"/>
          <w:shd w:val="clear" w:color="auto" w:fill="F8F9FA"/>
        </w:rPr>
        <w:t>ENSafrica</w:t>
      </w:r>
      <w:proofErr w:type="spellEnd"/>
      <w:r>
        <w:rPr>
          <w:rFonts w:ascii="Arial" w:hAnsi="Arial" w:cs="Arial"/>
          <w:b/>
          <w:bCs/>
          <w:color w:val="000000"/>
          <w:sz w:val="23"/>
          <w:szCs w:val="23"/>
          <w:shd w:val="clear" w:color="auto" w:fill="F8F9FA"/>
        </w:rPr>
        <w:t xml:space="preserve"> </w:t>
      </w:r>
      <w:r w:rsidRPr="0026524F">
        <w:rPr>
          <w:rStyle w:val="CharChar"/>
          <w:rFonts w:eastAsia="Calibri"/>
        </w:rPr>
        <w:t xml:space="preserve">and </w:t>
      </w:r>
      <w:r w:rsidR="00E45352" w:rsidRPr="0026524F">
        <w:rPr>
          <w:rStyle w:val="CharChar"/>
          <w:rFonts w:eastAsia="Calibri"/>
        </w:rPr>
        <w:t xml:space="preserve">Sizwe </w:t>
      </w:r>
      <w:proofErr w:type="spellStart"/>
      <w:r w:rsidR="00E45352" w:rsidRPr="0026524F">
        <w:rPr>
          <w:rStyle w:val="CharChar"/>
          <w:rFonts w:eastAsia="Calibri"/>
        </w:rPr>
        <w:t>Ntsaluba</w:t>
      </w:r>
      <w:proofErr w:type="spellEnd"/>
      <w:r w:rsidR="00E45352" w:rsidRPr="0026524F">
        <w:rPr>
          <w:rStyle w:val="CharChar"/>
          <w:rFonts w:eastAsia="Calibri"/>
        </w:rPr>
        <w:t xml:space="preserve"> </w:t>
      </w:r>
      <w:proofErr w:type="spellStart"/>
      <w:r w:rsidRPr="0026524F">
        <w:rPr>
          <w:rStyle w:val="CharChar"/>
          <w:rFonts w:eastAsia="Calibri"/>
        </w:rPr>
        <w:t>Gobodo</w:t>
      </w:r>
      <w:proofErr w:type="spellEnd"/>
      <w:r w:rsidRPr="0026524F">
        <w:rPr>
          <w:rStyle w:val="CharChar"/>
          <w:rFonts w:eastAsia="Calibri"/>
        </w:rPr>
        <w:t>], were appointed by National Treasury to support the intervention for verification of contracts and invoices, contract management and document review, and conducting forensic audits as well as forensic investigations where necessary.</w:t>
      </w:r>
    </w:p>
    <w:p w:rsidR="003459A5" w:rsidRPr="00180CEF" w:rsidRDefault="003459A5" w:rsidP="003459A5">
      <w:pPr>
        <w:pStyle w:val="ListParagraph"/>
        <w:rPr>
          <w:rFonts w:ascii="Arial" w:eastAsia="Calibri" w:hAnsi="Arial" w:cs="Arial"/>
          <w:color w:val="000000" w:themeColor="text1"/>
          <w:sz w:val="22"/>
          <w:szCs w:val="22"/>
          <w:lang w:val="en-GB"/>
        </w:rPr>
      </w:pPr>
    </w:p>
    <w:p w:rsidR="003459A5" w:rsidRPr="00180CEF" w:rsidRDefault="003459A5" w:rsidP="0061492C">
      <w:pPr>
        <w:pStyle w:val="ListParagraph"/>
        <w:spacing w:before="100" w:beforeAutospacing="1" w:after="100" w:afterAutospacing="1" w:line="276" w:lineRule="auto"/>
        <w:ind w:left="1134"/>
        <w:jc w:val="both"/>
        <w:rPr>
          <w:rFonts w:ascii="Arial" w:eastAsia="Calibri" w:hAnsi="Arial" w:cs="Arial"/>
          <w:color w:val="000000" w:themeColor="text1"/>
          <w:sz w:val="22"/>
          <w:szCs w:val="22"/>
          <w:lang w:val="en-GB"/>
        </w:rPr>
      </w:pPr>
      <w:r w:rsidRPr="00180CEF">
        <w:rPr>
          <w:rFonts w:ascii="Arial" w:eastAsia="Calibri" w:hAnsi="Arial" w:cs="Arial"/>
          <w:color w:val="000000" w:themeColor="text1"/>
          <w:sz w:val="22"/>
          <w:szCs w:val="22"/>
          <w:lang w:val="en-GB"/>
        </w:rPr>
        <w:t xml:space="preserve">The other appointments by the Minister of Finance, were those of administrators as </w:t>
      </w:r>
      <w:r w:rsidR="002B5958" w:rsidRPr="00180CEF">
        <w:rPr>
          <w:rFonts w:ascii="Arial" w:eastAsia="Calibri" w:hAnsi="Arial" w:cs="Arial"/>
          <w:color w:val="000000" w:themeColor="text1"/>
          <w:sz w:val="22"/>
          <w:szCs w:val="22"/>
          <w:lang w:val="en-GB"/>
        </w:rPr>
        <w:t>A</w:t>
      </w:r>
      <w:r w:rsidRPr="00180CEF">
        <w:rPr>
          <w:rFonts w:ascii="Arial" w:eastAsia="Calibri" w:hAnsi="Arial" w:cs="Arial"/>
          <w:color w:val="000000" w:themeColor="text1"/>
          <w:sz w:val="22"/>
          <w:szCs w:val="22"/>
          <w:lang w:val="en-GB"/>
        </w:rPr>
        <w:t xml:space="preserve">ccounting </w:t>
      </w:r>
      <w:r w:rsidR="002B5958" w:rsidRPr="00180CEF">
        <w:rPr>
          <w:rFonts w:ascii="Arial" w:eastAsia="Calibri" w:hAnsi="Arial" w:cs="Arial"/>
          <w:color w:val="000000" w:themeColor="text1"/>
          <w:sz w:val="22"/>
          <w:szCs w:val="22"/>
          <w:lang w:val="en-GB"/>
        </w:rPr>
        <w:t>O</w:t>
      </w:r>
      <w:r w:rsidRPr="00180CEF">
        <w:rPr>
          <w:rFonts w:ascii="Arial" w:eastAsia="Calibri" w:hAnsi="Arial" w:cs="Arial"/>
          <w:color w:val="000000" w:themeColor="text1"/>
          <w:sz w:val="22"/>
          <w:szCs w:val="22"/>
          <w:lang w:val="en-GB"/>
        </w:rPr>
        <w:t xml:space="preserve">fficers as requested by the Ministers responsible for those departments, namely, for the Department of Education – Mr Mzwandile Matthews; for the Department of Roads and Transport – Mr </w:t>
      </w:r>
      <w:proofErr w:type="spellStart"/>
      <w:r w:rsidRPr="00180CEF">
        <w:rPr>
          <w:rFonts w:ascii="Arial" w:eastAsia="Calibri" w:hAnsi="Arial" w:cs="Arial"/>
          <w:color w:val="000000" w:themeColor="text1"/>
          <w:sz w:val="22"/>
          <w:szCs w:val="22"/>
          <w:lang w:val="en-GB"/>
        </w:rPr>
        <w:t>Mathabatha</w:t>
      </w:r>
      <w:proofErr w:type="spellEnd"/>
      <w:r w:rsidRPr="00180CEF">
        <w:rPr>
          <w:rFonts w:ascii="Arial" w:eastAsia="Calibri" w:hAnsi="Arial" w:cs="Arial"/>
          <w:color w:val="000000" w:themeColor="text1"/>
          <w:sz w:val="22"/>
          <w:szCs w:val="22"/>
          <w:lang w:val="en-GB"/>
        </w:rPr>
        <w:t xml:space="preserve"> </w:t>
      </w:r>
      <w:proofErr w:type="spellStart"/>
      <w:r w:rsidRPr="00180CEF">
        <w:rPr>
          <w:rFonts w:ascii="Arial" w:eastAsia="Calibri" w:hAnsi="Arial" w:cs="Arial"/>
          <w:color w:val="000000" w:themeColor="text1"/>
          <w:sz w:val="22"/>
          <w:szCs w:val="22"/>
          <w:lang w:val="en-GB"/>
        </w:rPr>
        <w:t>Mokonyama</w:t>
      </w:r>
      <w:proofErr w:type="spellEnd"/>
      <w:r w:rsidRPr="00180CEF">
        <w:rPr>
          <w:rFonts w:ascii="Arial" w:eastAsia="Calibri" w:hAnsi="Arial" w:cs="Arial"/>
          <w:color w:val="000000" w:themeColor="text1"/>
          <w:sz w:val="22"/>
          <w:szCs w:val="22"/>
          <w:lang w:val="en-GB"/>
        </w:rPr>
        <w:t xml:space="preserve">; and for the Department of Public Works – Mr B. </w:t>
      </w:r>
      <w:proofErr w:type="spellStart"/>
      <w:r w:rsidRPr="00180CEF">
        <w:rPr>
          <w:rFonts w:ascii="Arial" w:eastAsia="Calibri" w:hAnsi="Arial" w:cs="Arial"/>
          <w:color w:val="000000" w:themeColor="text1"/>
          <w:sz w:val="22"/>
          <w:szCs w:val="22"/>
          <w:lang w:val="en-GB"/>
        </w:rPr>
        <w:t>Matutle</w:t>
      </w:r>
      <w:proofErr w:type="spellEnd"/>
      <w:r w:rsidRPr="00180CEF">
        <w:rPr>
          <w:rFonts w:ascii="Arial" w:eastAsia="Calibri" w:hAnsi="Arial" w:cs="Arial"/>
          <w:color w:val="000000" w:themeColor="text1"/>
          <w:sz w:val="22"/>
          <w:szCs w:val="22"/>
          <w:lang w:val="en-GB"/>
        </w:rPr>
        <w:t xml:space="preserve">, but later replaced by Mr </w:t>
      </w:r>
      <w:proofErr w:type="spellStart"/>
      <w:r w:rsidRPr="00180CEF">
        <w:rPr>
          <w:rFonts w:ascii="Arial" w:eastAsia="Calibri" w:hAnsi="Arial" w:cs="Arial"/>
          <w:color w:val="000000" w:themeColor="text1"/>
          <w:sz w:val="22"/>
          <w:szCs w:val="22"/>
          <w:lang w:val="en-GB"/>
        </w:rPr>
        <w:t>Mbuyi</w:t>
      </w:r>
      <w:proofErr w:type="spellEnd"/>
      <w:r w:rsidRPr="00180CEF">
        <w:rPr>
          <w:rFonts w:ascii="Arial" w:eastAsia="Calibri" w:hAnsi="Arial" w:cs="Arial"/>
          <w:color w:val="000000" w:themeColor="text1"/>
          <w:sz w:val="22"/>
          <w:szCs w:val="22"/>
          <w:lang w:val="en-GB"/>
        </w:rPr>
        <w:t xml:space="preserve"> </w:t>
      </w:r>
      <w:proofErr w:type="spellStart"/>
      <w:r w:rsidRPr="00180CEF">
        <w:rPr>
          <w:rFonts w:ascii="Arial" w:eastAsia="Calibri" w:hAnsi="Arial" w:cs="Arial"/>
          <w:color w:val="000000" w:themeColor="text1"/>
          <w:sz w:val="22"/>
          <w:szCs w:val="22"/>
          <w:lang w:val="en-GB"/>
        </w:rPr>
        <w:t>Dondashe</w:t>
      </w:r>
      <w:proofErr w:type="spellEnd"/>
      <w:r w:rsidRPr="00180CEF">
        <w:rPr>
          <w:rFonts w:ascii="Arial" w:eastAsia="Calibri" w:hAnsi="Arial" w:cs="Arial"/>
          <w:color w:val="000000" w:themeColor="text1"/>
          <w:sz w:val="22"/>
          <w:szCs w:val="22"/>
          <w:lang w:val="en-GB"/>
        </w:rPr>
        <w:t>.  Ms Valerie Rennie was appointed by the Minister of Health as an administrator, but was not recommended to the Minister of Finance for appointment as the Accounting Office</w:t>
      </w:r>
      <w:r w:rsidR="00FC7FFE" w:rsidRPr="00180CEF">
        <w:rPr>
          <w:rFonts w:ascii="Arial" w:eastAsia="Calibri" w:hAnsi="Arial" w:cs="Arial"/>
          <w:color w:val="000000" w:themeColor="text1"/>
          <w:sz w:val="22"/>
          <w:szCs w:val="22"/>
          <w:lang w:val="en-GB"/>
        </w:rPr>
        <w:t>r</w:t>
      </w:r>
      <w:r w:rsidRPr="00180CEF">
        <w:rPr>
          <w:rFonts w:ascii="Arial" w:eastAsia="Calibri" w:hAnsi="Arial" w:cs="Arial"/>
          <w:color w:val="000000" w:themeColor="text1"/>
          <w:sz w:val="22"/>
          <w:szCs w:val="22"/>
          <w:lang w:val="en-GB"/>
        </w:rPr>
        <w:t xml:space="preserve"> of the Department of Health in Limpopo.  </w:t>
      </w:r>
    </w:p>
    <w:p w:rsidR="007663AF" w:rsidRPr="0026524F" w:rsidRDefault="003459A5" w:rsidP="0026524F">
      <w:pPr>
        <w:pStyle w:val="ListParagraph"/>
        <w:spacing w:before="100" w:after="100" w:line="276" w:lineRule="auto"/>
        <w:ind w:left="1134" w:hanging="1134"/>
        <w:jc w:val="both"/>
        <w:rPr>
          <w:rFonts w:ascii="Arial" w:hAnsi="Arial" w:cs="Arial"/>
          <w:sz w:val="22"/>
          <w:szCs w:val="22"/>
        </w:rPr>
      </w:pPr>
      <w:r w:rsidRPr="0026524F">
        <w:rPr>
          <w:rFonts w:ascii="Arial" w:eastAsia="Calibri" w:hAnsi="Arial" w:cs="Arial"/>
          <w:sz w:val="22"/>
          <w:szCs w:val="22"/>
          <w:lang w:val="en-GB"/>
        </w:rPr>
        <w:t>(2)</w:t>
      </w:r>
      <w:r w:rsidRPr="0026524F">
        <w:rPr>
          <w:rFonts w:ascii="Arial" w:eastAsia="Calibri" w:hAnsi="Arial" w:cs="Arial"/>
          <w:sz w:val="22"/>
          <w:szCs w:val="22"/>
          <w:lang w:val="en-GB"/>
        </w:rPr>
        <w:tab/>
        <w:t>No, the Public Affairs Research Institute did not work with the administrators and National Treasury as part of the team, when the Limpopo provincial Department of Health was placed under administration</w:t>
      </w:r>
      <w:r w:rsidR="00FC7FFE" w:rsidRPr="0026524F">
        <w:rPr>
          <w:rFonts w:ascii="Arial" w:eastAsia="Calibri" w:hAnsi="Arial" w:cs="Arial"/>
          <w:sz w:val="22"/>
          <w:szCs w:val="22"/>
          <w:lang w:val="en-GB"/>
        </w:rPr>
        <w:t>.</w:t>
      </w:r>
    </w:p>
    <w:p w:rsidR="00FF3A94" w:rsidRDefault="00FF3A94"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3667"/>
    <w:multiLevelType w:val="hybridMultilevel"/>
    <w:tmpl w:val="F4088EB0"/>
    <w:lvl w:ilvl="0" w:tplc="79BEEA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D0E2D1D"/>
    <w:multiLevelType w:val="hybridMultilevel"/>
    <w:tmpl w:val="D8C4591A"/>
    <w:lvl w:ilvl="0" w:tplc="BDA042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A03A9"/>
    <w:rsid w:val="000B3F46"/>
    <w:rsid w:val="000B5D30"/>
    <w:rsid w:val="000C2BEF"/>
    <w:rsid w:val="000C48D8"/>
    <w:rsid w:val="000E0FF8"/>
    <w:rsid w:val="000E1B36"/>
    <w:rsid w:val="000F3B14"/>
    <w:rsid w:val="000F477D"/>
    <w:rsid w:val="001433AE"/>
    <w:rsid w:val="0014441E"/>
    <w:rsid w:val="0015727B"/>
    <w:rsid w:val="001718F4"/>
    <w:rsid w:val="00180CEF"/>
    <w:rsid w:val="00193F0D"/>
    <w:rsid w:val="00197576"/>
    <w:rsid w:val="001A58A9"/>
    <w:rsid w:val="001B0917"/>
    <w:rsid w:val="001D4937"/>
    <w:rsid w:val="001D540F"/>
    <w:rsid w:val="001E3FB5"/>
    <w:rsid w:val="001E6902"/>
    <w:rsid w:val="001F4430"/>
    <w:rsid w:val="001F4B50"/>
    <w:rsid w:val="00207912"/>
    <w:rsid w:val="002131C7"/>
    <w:rsid w:val="0022502D"/>
    <w:rsid w:val="00236C35"/>
    <w:rsid w:val="0026524F"/>
    <w:rsid w:val="002855CE"/>
    <w:rsid w:val="002867DD"/>
    <w:rsid w:val="002A4157"/>
    <w:rsid w:val="002A4EE6"/>
    <w:rsid w:val="002B5958"/>
    <w:rsid w:val="002F6E86"/>
    <w:rsid w:val="00304578"/>
    <w:rsid w:val="00307402"/>
    <w:rsid w:val="003421BD"/>
    <w:rsid w:val="00344553"/>
    <w:rsid w:val="003459A5"/>
    <w:rsid w:val="00351BF5"/>
    <w:rsid w:val="00363C8F"/>
    <w:rsid w:val="003F3C43"/>
    <w:rsid w:val="0043065E"/>
    <w:rsid w:val="00455CE1"/>
    <w:rsid w:val="0047127F"/>
    <w:rsid w:val="00472D86"/>
    <w:rsid w:val="00485B2E"/>
    <w:rsid w:val="004A078E"/>
    <w:rsid w:val="004F43FB"/>
    <w:rsid w:val="005141B3"/>
    <w:rsid w:val="00532BB4"/>
    <w:rsid w:val="00533C35"/>
    <w:rsid w:val="00565C1A"/>
    <w:rsid w:val="005706F1"/>
    <w:rsid w:val="00574E19"/>
    <w:rsid w:val="00592137"/>
    <w:rsid w:val="00597D58"/>
    <w:rsid w:val="005A25BC"/>
    <w:rsid w:val="00603105"/>
    <w:rsid w:val="00611151"/>
    <w:rsid w:val="00612FCD"/>
    <w:rsid w:val="00613FC6"/>
    <w:rsid w:val="0061492C"/>
    <w:rsid w:val="006239F1"/>
    <w:rsid w:val="00624D20"/>
    <w:rsid w:val="0062770E"/>
    <w:rsid w:val="0064275F"/>
    <w:rsid w:val="00646E7C"/>
    <w:rsid w:val="00647EF2"/>
    <w:rsid w:val="00653A85"/>
    <w:rsid w:val="00674982"/>
    <w:rsid w:val="00681024"/>
    <w:rsid w:val="00685058"/>
    <w:rsid w:val="00693A64"/>
    <w:rsid w:val="006D1766"/>
    <w:rsid w:val="006D32F5"/>
    <w:rsid w:val="006E0B8A"/>
    <w:rsid w:val="007118EA"/>
    <w:rsid w:val="00726A9C"/>
    <w:rsid w:val="007359BF"/>
    <w:rsid w:val="00743F26"/>
    <w:rsid w:val="00744A6E"/>
    <w:rsid w:val="007540E0"/>
    <w:rsid w:val="007663AF"/>
    <w:rsid w:val="0076668B"/>
    <w:rsid w:val="007749D9"/>
    <w:rsid w:val="00780F57"/>
    <w:rsid w:val="00791465"/>
    <w:rsid w:val="007914E0"/>
    <w:rsid w:val="007A32AF"/>
    <w:rsid w:val="007B1BA1"/>
    <w:rsid w:val="007D0823"/>
    <w:rsid w:val="007D4060"/>
    <w:rsid w:val="007D40D2"/>
    <w:rsid w:val="007E56A2"/>
    <w:rsid w:val="007F197E"/>
    <w:rsid w:val="007F223D"/>
    <w:rsid w:val="00803AC4"/>
    <w:rsid w:val="00813FF0"/>
    <w:rsid w:val="0082088A"/>
    <w:rsid w:val="008321A4"/>
    <w:rsid w:val="00840093"/>
    <w:rsid w:val="00852DC3"/>
    <w:rsid w:val="00876CBB"/>
    <w:rsid w:val="00891265"/>
    <w:rsid w:val="008B4E4F"/>
    <w:rsid w:val="008C2559"/>
    <w:rsid w:val="008E01C3"/>
    <w:rsid w:val="008E4142"/>
    <w:rsid w:val="009021F5"/>
    <w:rsid w:val="00911717"/>
    <w:rsid w:val="009163A5"/>
    <w:rsid w:val="00953363"/>
    <w:rsid w:val="0096007E"/>
    <w:rsid w:val="009951EA"/>
    <w:rsid w:val="009A18A7"/>
    <w:rsid w:val="009A3C71"/>
    <w:rsid w:val="009A7DA2"/>
    <w:rsid w:val="009C69F6"/>
    <w:rsid w:val="009E1AB2"/>
    <w:rsid w:val="009E357F"/>
    <w:rsid w:val="00A02200"/>
    <w:rsid w:val="00A11CD8"/>
    <w:rsid w:val="00A31827"/>
    <w:rsid w:val="00A4552A"/>
    <w:rsid w:val="00A4586D"/>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5E0C"/>
    <w:rsid w:val="00B447E6"/>
    <w:rsid w:val="00B5649A"/>
    <w:rsid w:val="00B72D0B"/>
    <w:rsid w:val="00B74C99"/>
    <w:rsid w:val="00B77F67"/>
    <w:rsid w:val="00B913C7"/>
    <w:rsid w:val="00B95452"/>
    <w:rsid w:val="00BC3150"/>
    <w:rsid w:val="00BD31C6"/>
    <w:rsid w:val="00BF5863"/>
    <w:rsid w:val="00BF7938"/>
    <w:rsid w:val="00C25C7E"/>
    <w:rsid w:val="00C312EA"/>
    <w:rsid w:val="00C44C35"/>
    <w:rsid w:val="00C472D6"/>
    <w:rsid w:val="00C60822"/>
    <w:rsid w:val="00C82101"/>
    <w:rsid w:val="00C90C02"/>
    <w:rsid w:val="00CB4FDB"/>
    <w:rsid w:val="00CB51AD"/>
    <w:rsid w:val="00CB6784"/>
    <w:rsid w:val="00CC00D1"/>
    <w:rsid w:val="00CC2F3E"/>
    <w:rsid w:val="00D01E04"/>
    <w:rsid w:val="00D11D62"/>
    <w:rsid w:val="00D11F65"/>
    <w:rsid w:val="00D22E21"/>
    <w:rsid w:val="00D363B6"/>
    <w:rsid w:val="00D57C49"/>
    <w:rsid w:val="00D8139F"/>
    <w:rsid w:val="00DB2463"/>
    <w:rsid w:val="00DC0A9A"/>
    <w:rsid w:val="00DC769E"/>
    <w:rsid w:val="00DD5296"/>
    <w:rsid w:val="00DD6859"/>
    <w:rsid w:val="00DE0F34"/>
    <w:rsid w:val="00DE122E"/>
    <w:rsid w:val="00DE76CB"/>
    <w:rsid w:val="00DF0D26"/>
    <w:rsid w:val="00DF3944"/>
    <w:rsid w:val="00E42AEE"/>
    <w:rsid w:val="00E45352"/>
    <w:rsid w:val="00E55071"/>
    <w:rsid w:val="00E60EE1"/>
    <w:rsid w:val="00E7384D"/>
    <w:rsid w:val="00E77DF6"/>
    <w:rsid w:val="00E8352B"/>
    <w:rsid w:val="00EA468F"/>
    <w:rsid w:val="00EA6A49"/>
    <w:rsid w:val="00EC4BF6"/>
    <w:rsid w:val="00ED51F7"/>
    <w:rsid w:val="00F03C60"/>
    <w:rsid w:val="00F51C17"/>
    <w:rsid w:val="00F5571A"/>
    <w:rsid w:val="00F65949"/>
    <w:rsid w:val="00F754AB"/>
    <w:rsid w:val="00F87EA6"/>
    <w:rsid w:val="00FB0ABC"/>
    <w:rsid w:val="00FB7230"/>
    <w:rsid w:val="00FC2064"/>
    <w:rsid w:val="00FC7FFE"/>
    <w:rsid w:val="00FD595E"/>
    <w:rsid w:val="00FF3A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2F7F42-0EAC-4DB8-8D15-80A6B5A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26524F"/>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BB40-26F4-4A43-9F70-E6F9BB44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2018-12-06T06:57:00Z</cp:lastPrinted>
  <dcterms:created xsi:type="dcterms:W3CDTF">2018-12-31T14:17:00Z</dcterms:created>
  <dcterms:modified xsi:type="dcterms:W3CDTF">2018-12-31T14:17:00Z</dcterms:modified>
</cp:coreProperties>
</file>