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71</w:t>
      </w:r>
      <w:r w:rsidR="005C54D1">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5C54D1" w:rsidRPr="005C54D1" w:rsidRDefault="005C54D1" w:rsidP="005C54D1">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5C54D1">
        <w:rPr>
          <w:rFonts w:ascii="Arial" w:hAnsi="Arial" w:cs="Arial"/>
          <w:b/>
          <w:sz w:val="24"/>
          <w:szCs w:val="24"/>
          <w:u w:val="single"/>
          <w:lang w:val="en-US"/>
        </w:rPr>
        <w:t>Ms N N Chirwa (EFF) to ask the Minister of Health</w:t>
      </w:r>
      <w:r w:rsidR="001862CA" w:rsidRPr="005C54D1">
        <w:rPr>
          <w:rFonts w:ascii="Arial" w:hAnsi="Arial" w:cs="Arial"/>
          <w:b/>
          <w:sz w:val="24"/>
          <w:szCs w:val="24"/>
          <w:u w:val="single"/>
          <w:lang w:val="en-US"/>
        </w:rPr>
        <w:fldChar w:fldCharType="begin"/>
      </w:r>
      <w:r w:rsidRPr="005C54D1">
        <w:rPr>
          <w:rFonts w:ascii="Arial" w:hAnsi="Arial" w:cs="Arial"/>
          <w:u w:val="single"/>
        </w:rPr>
        <w:instrText xml:space="preserve"> XE "</w:instrText>
      </w:r>
      <w:r w:rsidRPr="005C54D1">
        <w:rPr>
          <w:rFonts w:ascii="Arial" w:hAnsi="Arial" w:cs="Arial"/>
          <w:b/>
          <w:sz w:val="24"/>
          <w:szCs w:val="24"/>
          <w:u w:val="single"/>
          <w:lang w:val="en-US"/>
        </w:rPr>
        <w:instrText>Minister of Health</w:instrText>
      </w:r>
      <w:r w:rsidRPr="005C54D1">
        <w:rPr>
          <w:rFonts w:ascii="Arial" w:hAnsi="Arial" w:cs="Arial"/>
          <w:u w:val="single"/>
        </w:rPr>
        <w:instrText xml:space="preserve">" </w:instrText>
      </w:r>
      <w:r w:rsidR="001862CA" w:rsidRPr="005C54D1">
        <w:rPr>
          <w:rFonts w:ascii="Arial" w:hAnsi="Arial" w:cs="Arial"/>
          <w:b/>
          <w:sz w:val="24"/>
          <w:szCs w:val="24"/>
          <w:u w:val="single"/>
          <w:lang w:val="en-US"/>
        </w:rPr>
        <w:fldChar w:fldCharType="end"/>
      </w:r>
      <w:r w:rsidRPr="005C54D1">
        <w:rPr>
          <w:rFonts w:ascii="Arial" w:hAnsi="Arial" w:cs="Arial"/>
          <w:b/>
          <w:sz w:val="24"/>
          <w:szCs w:val="24"/>
          <w:u w:val="single"/>
          <w:lang w:val="en-US"/>
        </w:rPr>
        <w:t>:</w:t>
      </w:r>
    </w:p>
    <w:p w:rsidR="00DA1577" w:rsidRPr="000011B8" w:rsidRDefault="005C54D1" w:rsidP="005C54D1">
      <w:pPr>
        <w:spacing w:before="100" w:beforeAutospacing="1" w:after="100" w:afterAutospacing="1" w:line="240" w:lineRule="auto"/>
        <w:ind w:right="26"/>
        <w:jc w:val="both"/>
        <w:rPr>
          <w:rFonts w:ascii="Times New Roman" w:hAnsi="Times New Roman" w:cs="Times New Roman"/>
          <w:sz w:val="24"/>
          <w:szCs w:val="24"/>
        </w:rPr>
      </w:pPr>
      <w:r w:rsidRPr="005C54D1">
        <w:rPr>
          <w:rFonts w:ascii="Arial" w:hAnsi="Arial" w:cs="Arial"/>
          <w:sz w:val="24"/>
          <w:szCs w:val="24"/>
        </w:rPr>
        <w:t>With reference to the Ritshidze Data on the Free State report on challenges that make it hard to access the human immunodeficiency viruses (HIV) and Tuberculosis</w:t>
      </w:r>
      <w:r w:rsidRPr="005C54D1">
        <w:rPr>
          <w:rFonts w:ascii="Arial" w:hAnsi="Arial" w:cs="Arial"/>
          <w:b/>
          <w:bCs/>
          <w:sz w:val="24"/>
          <w:szCs w:val="24"/>
        </w:rPr>
        <w:t xml:space="preserve"> </w:t>
      </w:r>
      <w:r w:rsidRPr="005C54D1">
        <w:rPr>
          <w:rFonts w:ascii="Arial" w:hAnsi="Arial" w:cs="Arial"/>
          <w:sz w:val="24"/>
          <w:szCs w:val="24"/>
        </w:rPr>
        <w:t>(TB) preventative treatment, which states the challenges and interventions needed to address the health access crisis in the province, while he is yet to make sustainable interventions in that direction after so many years, (a) what are the plans of his department concerning Free State healthcare issues and (b) on what date is it envisaged that the specified plans will take shape to address issues of access to healthcare in the province?</w:t>
      </w:r>
      <w:r w:rsidRPr="009253B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0011B8">
        <w:rPr>
          <w:rFonts w:ascii="Arial" w:hAnsi="Arial" w:cs="Arial"/>
          <w:b/>
          <w:bCs/>
          <w:sz w:val="12"/>
          <w:szCs w:val="12"/>
        </w:rPr>
        <w:t>4</w:t>
      </w:r>
      <w:r>
        <w:rPr>
          <w:rFonts w:ascii="Arial" w:hAnsi="Arial" w:cs="Arial"/>
          <w:b/>
          <w:bCs/>
          <w:sz w:val="12"/>
          <w:szCs w:val="12"/>
        </w:rPr>
        <w:t>90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D117ED" w:rsidRDefault="00B92BFD" w:rsidP="00D117ED">
      <w:pPr>
        <w:spacing w:after="0" w:line="240" w:lineRule="auto"/>
        <w:ind w:right="102"/>
        <w:jc w:val="both"/>
        <w:rPr>
          <w:rFonts w:ascii="Arial" w:hAnsi="Arial" w:cs="Arial"/>
          <w:b/>
          <w:bCs/>
          <w:color w:val="000000" w:themeColor="text1"/>
          <w:sz w:val="24"/>
          <w:szCs w:val="24"/>
          <w:u w:val="single"/>
        </w:rPr>
      </w:pPr>
      <w:r w:rsidRPr="00D117ED">
        <w:rPr>
          <w:rFonts w:ascii="Arial" w:hAnsi="Arial" w:cs="Arial"/>
          <w:b/>
          <w:bCs/>
          <w:color w:val="000000" w:themeColor="text1"/>
          <w:sz w:val="24"/>
          <w:szCs w:val="24"/>
          <w:u w:val="single"/>
        </w:rPr>
        <w:t>REPLY:</w:t>
      </w:r>
    </w:p>
    <w:p w:rsidR="00D117ED" w:rsidRDefault="00D117ED" w:rsidP="00D117ED">
      <w:pPr>
        <w:spacing w:after="0" w:line="240" w:lineRule="auto"/>
        <w:ind w:right="102"/>
        <w:jc w:val="both"/>
        <w:rPr>
          <w:rFonts w:ascii="Arial" w:hAnsi="Arial" w:cs="Arial"/>
          <w:sz w:val="24"/>
          <w:szCs w:val="24"/>
        </w:rPr>
      </w:pPr>
    </w:p>
    <w:p w:rsidR="00D117ED" w:rsidRDefault="00D117ED" w:rsidP="00D117ED">
      <w:pPr>
        <w:spacing w:after="0" w:line="240" w:lineRule="auto"/>
        <w:ind w:right="102"/>
        <w:jc w:val="both"/>
        <w:rPr>
          <w:rFonts w:ascii="Arial" w:hAnsi="Arial" w:cs="Arial"/>
          <w:bCs/>
          <w:sz w:val="24"/>
          <w:szCs w:val="24"/>
        </w:rPr>
      </w:pPr>
      <w:r w:rsidRPr="00D117ED">
        <w:rPr>
          <w:rFonts w:ascii="Arial" w:hAnsi="Arial" w:cs="Arial"/>
          <w:bCs/>
          <w:sz w:val="24"/>
          <w:szCs w:val="24"/>
        </w:rPr>
        <w:t xml:space="preserve">The challenge with the question </w:t>
      </w:r>
      <w:r>
        <w:rPr>
          <w:rFonts w:ascii="Arial" w:hAnsi="Arial" w:cs="Arial"/>
          <w:bCs/>
          <w:sz w:val="24"/>
          <w:szCs w:val="24"/>
        </w:rPr>
        <w:t xml:space="preserve">in respect of </w:t>
      </w:r>
      <w:r w:rsidRPr="00D117ED">
        <w:rPr>
          <w:rFonts w:ascii="Arial" w:hAnsi="Arial" w:cs="Arial"/>
          <w:bCs/>
          <w:sz w:val="24"/>
          <w:szCs w:val="24"/>
        </w:rPr>
        <w:t>Retshidze is that it is general and as such it is difficult for the department to respond in a specific way. The table here below provides general responses in line with the areas that were covered by the Retshidze report.</w:t>
      </w:r>
    </w:p>
    <w:p w:rsidR="00D117ED" w:rsidRPr="00D117ED" w:rsidRDefault="00D117ED" w:rsidP="00D117ED">
      <w:pPr>
        <w:spacing w:after="0" w:line="240" w:lineRule="auto"/>
        <w:ind w:right="102"/>
        <w:jc w:val="both"/>
        <w:rPr>
          <w:rFonts w:ascii="Arial" w:hAnsi="Arial" w:cs="Arial"/>
          <w:bCs/>
          <w:sz w:val="24"/>
          <w:szCs w:val="24"/>
        </w:rPr>
      </w:pPr>
      <w:r w:rsidRPr="00D117ED">
        <w:rPr>
          <w:rFonts w:ascii="Arial" w:hAnsi="Arial" w:cs="Arial"/>
          <w:bCs/>
          <w:sz w:val="24"/>
          <w:szCs w:val="24"/>
        </w:rPr>
        <w:t xml:space="preserve"> </w:t>
      </w:r>
    </w:p>
    <w:p w:rsidR="00D117ED" w:rsidRPr="00D117ED" w:rsidRDefault="00D117ED" w:rsidP="00D117ED">
      <w:pPr>
        <w:pStyle w:val="ListParagraph"/>
        <w:numPr>
          <w:ilvl w:val="0"/>
          <w:numId w:val="24"/>
        </w:numPr>
        <w:spacing w:line="240" w:lineRule="auto"/>
        <w:ind w:left="709" w:hanging="709"/>
        <w:jc w:val="both"/>
        <w:rPr>
          <w:rFonts w:ascii="Arial" w:hAnsi="Arial" w:cs="Arial"/>
          <w:bCs/>
          <w:sz w:val="24"/>
          <w:szCs w:val="24"/>
        </w:rPr>
      </w:pPr>
      <w:r w:rsidRPr="00D117ED">
        <w:rPr>
          <w:rFonts w:ascii="Arial" w:hAnsi="Arial" w:cs="Arial"/>
          <w:bCs/>
          <w:sz w:val="24"/>
          <w:szCs w:val="24"/>
        </w:rPr>
        <w:t>The plans of the department concerning Free State Health Issues and (b) date to address the issues of access to health care are in the table below:</w:t>
      </w:r>
    </w:p>
    <w:tbl>
      <w:tblPr>
        <w:tblStyle w:val="TableGrid"/>
        <w:tblW w:w="9922" w:type="dxa"/>
        <w:tblInd w:w="421" w:type="dxa"/>
        <w:tblLook w:val="04A0"/>
      </w:tblPr>
      <w:tblGrid>
        <w:gridCol w:w="1701"/>
        <w:gridCol w:w="2834"/>
        <w:gridCol w:w="2835"/>
        <w:gridCol w:w="2552"/>
      </w:tblGrid>
      <w:tr w:rsidR="00D117ED" w:rsidRPr="00D117ED" w:rsidTr="00D117ED">
        <w:trPr>
          <w:tblHeader/>
        </w:trPr>
        <w:tc>
          <w:tcPr>
            <w:tcW w:w="1701" w:type="dxa"/>
            <w:shd w:val="clear" w:color="auto" w:fill="D9D9D9" w:themeFill="background1" w:themeFillShade="D9"/>
          </w:tcPr>
          <w:p w:rsidR="00D117ED" w:rsidRPr="00D117ED" w:rsidRDefault="00D117ED" w:rsidP="00D117ED">
            <w:pPr>
              <w:jc w:val="both"/>
              <w:rPr>
                <w:rFonts w:ascii="Arial Narrow" w:hAnsi="Arial Narrow"/>
                <w:b/>
                <w:bCs/>
                <w:sz w:val="22"/>
                <w:szCs w:val="22"/>
              </w:rPr>
            </w:pPr>
            <w:r w:rsidRPr="00D117ED">
              <w:rPr>
                <w:rFonts w:ascii="Arial Narrow" w:hAnsi="Arial Narrow"/>
                <w:b/>
                <w:bCs/>
                <w:sz w:val="22"/>
                <w:szCs w:val="22"/>
              </w:rPr>
              <w:t xml:space="preserve">Item </w:t>
            </w:r>
          </w:p>
        </w:tc>
        <w:tc>
          <w:tcPr>
            <w:tcW w:w="2834" w:type="dxa"/>
            <w:shd w:val="clear" w:color="auto" w:fill="D9D9D9" w:themeFill="background1" w:themeFillShade="D9"/>
          </w:tcPr>
          <w:p w:rsidR="00D117ED" w:rsidRPr="00D117ED" w:rsidRDefault="00D117ED" w:rsidP="00D117ED">
            <w:pPr>
              <w:jc w:val="both"/>
              <w:rPr>
                <w:rFonts w:ascii="Arial Narrow" w:hAnsi="Arial Narrow"/>
                <w:b/>
                <w:bCs/>
                <w:sz w:val="22"/>
                <w:szCs w:val="22"/>
              </w:rPr>
            </w:pPr>
            <w:r w:rsidRPr="00D117ED">
              <w:rPr>
                <w:rFonts w:ascii="Arial Narrow" w:hAnsi="Arial Narrow"/>
                <w:b/>
                <w:bCs/>
                <w:sz w:val="22"/>
                <w:szCs w:val="22"/>
              </w:rPr>
              <w:t xml:space="preserve">Challenge raised by Ritshidze </w:t>
            </w:r>
          </w:p>
        </w:tc>
        <w:tc>
          <w:tcPr>
            <w:tcW w:w="2835" w:type="dxa"/>
            <w:shd w:val="clear" w:color="auto" w:fill="D9D9D9" w:themeFill="background1" w:themeFillShade="D9"/>
          </w:tcPr>
          <w:p w:rsidR="00D117ED" w:rsidRPr="00D117ED" w:rsidRDefault="00D117ED" w:rsidP="00D117ED">
            <w:pPr>
              <w:pStyle w:val="ListParagraph"/>
              <w:numPr>
                <w:ilvl w:val="0"/>
                <w:numId w:val="25"/>
              </w:numPr>
              <w:jc w:val="both"/>
              <w:rPr>
                <w:rFonts w:ascii="Arial Narrow" w:hAnsi="Arial Narrow"/>
                <w:b/>
                <w:bCs/>
                <w:sz w:val="22"/>
                <w:szCs w:val="22"/>
              </w:rPr>
            </w:pPr>
            <w:r w:rsidRPr="00D117ED">
              <w:rPr>
                <w:rFonts w:ascii="Arial Narrow" w:hAnsi="Arial Narrow"/>
                <w:b/>
                <w:bCs/>
                <w:sz w:val="22"/>
                <w:szCs w:val="22"/>
              </w:rPr>
              <w:t xml:space="preserve">Plans of the department </w:t>
            </w:r>
          </w:p>
        </w:tc>
        <w:tc>
          <w:tcPr>
            <w:tcW w:w="2552" w:type="dxa"/>
            <w:shd w:val="clear" w:color="auto" w:fill="D9D9D9" w:themeFill="background1" w:themeFillShade="D9"/>
          </w:tcPr>
          <w:p w:rsidR="00D117ED" w:rsidRPr="00D117ED" w:rsidRDefault="00D117ED" w:rsidP="00D117ED">
            <w:pPr>
              <w:pStyle w:val="ListParagraph"/>
              <w:numPr>
                <w:ilvl w:val="0"/>
                <w:numId w:val="25"/>
              </w:numPr>
              <w:jc w:val="both"/>
              <w:rPr>
                <w:rFonts w:ascii="Arial Narrow" w:hAnsi="Arial Narrow"/>
                <w:b/>
                <w:bCs/>
                <w:sz w:val="22"/>
                <w:szCs w:val="22"/>
              </w:rPr>
            </w:pPr>
            <w:r w:rsidRPr="00D117ED">
              <w:rPr>
                <w:rFonts w:ascii="Arial Narrow" w:hAnsi="Arial Narrow"/>
                <w:b/>
                <w:bCs/>
                <w:sz w:val="22"/>
                <w:szCs w:val="22"/>
              </w:rPr>
              <w:t xml:space="preserve">Date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Shortages of staff</w:t>
            </w:r>
          </w:p>
        </w:tc>
        <w:tc>
          <w:tcPr>
            <w:tcW w:w="2834" w:type="dxa"/>
          </w:tcPr>
          <w:p w:rsidR="00D117ED" w:rsidRPr="00D117ED" w:rsidRDefault="00D117ED" w:rsidP="00D117ED">
            <w:pPr>
              <w:pStyle w:val="ListParagraph"/>
              <w:numPr>
                <w:ilvl w:val="0"/>
                <w:numId w:val="22"/>
              </w:numPr>
              <w:jc w:val="both"/>
              <w:rPr>
                <w:rFonts w:ascii="Arial Narrow" w:hAnsi="Arial Narrow"/>
                <w:sz w:val="22"/>
                <w:szCs w:val="22"/>
              </w:rPr>
            </w:pPr>
            <w:r w:rsidRPr="00D117ED">
              <w:rPr>
                <w:rFonts w:ascii="Arial Narrow" w:hAnsi="Arial Narrow"/>
                <w:sz w:val="22"/>
                <w:szCs w:val="22"/>
              </w:rPr>
              <w:t>79% of facilities again reported being understaffed and unable to meet the needs of public healthcare users this year</w:t>
            </w:r>
          </w:p>
        </w:tc>
        <w:tc>
          <w:tcPr>
            <w:tcW w:w="2835" w:type="dxa"/>
          </w:tcPr>
          <w:p w:rsidR="00D117ED" w:rsidRPr="00D117ED" w:rsidRDefault="00D117ED" w:rsidP="00D117ED">
            <w:pPr>
              <w:pStyle w:val="ListParagraph"/>
              <w:numPr>
                <w:ilvl w:val="0"/>
                <w:numId w:val="22"/>
              </w:numPr>
              <w:jc w:val="both"/>
              <w:rPr>
                <w:rFonts w:ascii="Arial Narrow" w:hAnsi="Arial Narrow"/>
                <w:sz w:val="22"/>
                <w:szCs w:val="22"/>
              </w:rPr>
            </w:pPr>
            <w:r w:rsidRPr="00D117ED">
              <w:rPr>
                <w:rFonts w:ascii="Arial Narrow" w:hAnsi="Arial Narrow"/>
                <w:sz w:val="22"/>
                <w:szCs w:val="22"/>
              </w:rPr>
              <w:t xml:space="preserve">There currently are budget pressure and as such the department is not able to appoint a new staff </w:t>
            </w:r>
          </w:p>
          <w:p w:rsidR="00D117ED" w:rsidRPr="00D117ED" w:rsidRDefault="00D117ED" w:rsidP="00D117ED">
            <w:pPr>
              <w:jc w:val="both"/>
              <w:rPr>
                <w:rFonts w:ascii="Arial Narrow" w:hAnsi="Arial Narrow"/>
                <w:sz w:val="22"/>
                <w:szCs w:val="22"/>
              </w:rPr>
            </w:pP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The department will prioritize critical post for 2023/24  budget and over the MTEF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ART </w:t>
            </w:r>
          </w:p>
        </w:tc>
        <w:tc>
          <w:tcPr>
            <w:tcW w:w="2834" w:type="dxa"/>
          </w:tcPr>
          <w:p w:rsidR="00D117ED" w:rsidRPr="00D117ED" w:rsidRDefault="00D117ED" w:rsidP="00D117ED">
            <w:pPr>
              <w:pStyle w:val="ListParagraph"/>
              <w:numPr>
                <w:ilvl w:val="0"/>
                <w:numId w:val="18"/>
              </w:numPr>
              <w:jc w:val="both"/>
              <w:rPr>
                <w:rFonts w:ascii="Arial Narrow" w:hAnsi="Arial Narrow"/>
                <w:sz w:val="22"/>
                <w:szCs w:val="22"/>
              </w:rPr>
            </w:pPr>
            <w:r w:rsidRPr="00D117ED">
              <w:rPr>
                <w:rFonts w:ascii="Arial Narrow" w:hAnsi="Arial Narrow"/>
                <w:sz w:val="22"/>
                <w:szCs w:val="22"/>
              </w:rPr>
              <w:t>66% of PLHIV would like to collect ARVs closer to their home (66% last year)</w:t>
            </w:r>
          </w:p>
          <w:p w:rsidR="00D117ED" w:rsidRPr="00D117ED" w:rsidRDefault="00D117ED" w:rsidP="00D117ED">
            <w:pPr>
              <w:jc w:val="both"/>
              <w:rPr>
                <w:rFonts w:ascii="Arial Narrow" w:hAnsi="Arial Narrow"/>
                <w:color w:val="FFFFFF" w:themeColor="background1"/>
                <w:sz w:val="22"/>
                <w:szCs w:val="22"/>
              </w:rPr>
            </w:pPr>
          </w:p>
        </w:tc>
        <w:tc>
          <w:tcPr>
            <w:tcW w:w="2835" w:type="dxa"/>
          </w:tcPr>
          <w:p w:rsidR="00D117ED" w:rsidRPr="00D117ED" w:rsidRDefault="00D117ED" w:rsidP="00D117ED">
            <w:pPr>
              <w:pStyle w:val="ListParagraph"/>
              <w:numPr>
                <w:ilvl w:val="0"/>
                <w:numId w:val="18"/>
              </w:numPr>
              <w:jc w:val="both"/>
              <w:rPr>
                <w:rFonts w:ascii="Arial Narrow" w:hAnsi="Arial Narrow"/>
                <w:sz w:val="22"/>
                <w:szCs w:val="22"/>
              </w:rPr>
            </w:pPr>
            <w:r w:rsidRPr="00D117ED">
              <w:rPr>
                <w:rFonts w:ascii="Arial Narrow" w:hAnsi="Arial Narrow"/>
                <w:sz w:val="22"/>
                <w:szCs w:val="22"/>
              </w:rPr>
              <w:t>The department is planning on increase  pick up points for the ARVs so that the patients can collect their treatment closer home</w:t>
            </w:r>
          </w:p>
          <w:p w:rsidR="00D117ED" w:rsidRPr="00D117ED" w:rsidRDefault="00D117ED" w:rsidP="00D117ED">
            <w:pPr>
              <w:pStyle w:val="ListParagraph"/>
              <w:ind w:left="360"/>
              <w:jc w:val="both"/>
              <w:rPr>
                <w:rFonts w:ascii="Arial Narrow" w:hAnsi="Arial Narrow"/>
                <w:sz w:val="22"/>
                <w:szCs w:val="22"/>
              </w:rPr>
            </w:pPr>
          </w:p>
          <w:p w:rsidR="00D117ED" w:rsidRPr="00D117ED" w:rsidRDefault="00D117ED" w:rsidP="00D117ED">
            <w:pPr>
              <w:pStyle w:val="ListParagraph"/>
              <w:numPr>
                <w:ilvl w:val="0"/>
                <w:numId w:val="18"/>
              </w:numPr>
              <w:jc w:val="both"/>
              <w:rPr>
                <w:rFonts w:ascii="Arial Narrow" w:hAnsi="Arial Narrow"/>
                <w:sz w:val="22"/>
                <w:szCs w:val="22"/>
              </w:rPr>
            </w:pPr>
            <w:r w:rsidRPr="00D117ED">
              <w:rPr>
                <w:rFonts w:ascii="Arial Narrow" w:hAnsi="Arial Narrow"/>
                <w:sz w:val="22"/>
                <w:szCs w:val="22"/>
              </w:rPr>
              <w:t xml:space="preserve">The department will also reopen  more adherence clubs that were affected during COVID19 </w:t>
            </w:r>
          </w:p>
          <w:p w:rsidR="00D117ED" w:rsidRPr="00D117ED" w:rsidRDefault="00D117ED" w:rsidP="00D117ED">
            <w:pPr>
              <w:pStyle w:val="ListParagraph"/>
              <w:jc w:val="both"/>
              <w:rPr>
                <w:rFonts w:ascii="Arial Narrow" w:hAnsi="Arial Narrow"/>
                <w:sz w:val="22"/>
                <w:szCs w:val="22"/>
              </w:rPr>
            </w:pPr>
          </w:p>
          <w:p w:rsidR="00D117ED" w:rsidRPr="00D117ED" w:rsidRDefault="00D117ED" w:rsidP="00D117ED">
            <w:pPr>
              <w:pStyle w:val="ListParagraph"/>
              <w:numPr>
                <w:ilvl w:val="0"/>
                <w:numId w:val="18"/>
              </w:numPr>
              <w:jc w:val="both"/>
              <w:rPr>
                <w:rFonts w:ascii="Arial Narrow" w:hAnsi="Arial Narrow"/>
                <w:sz w:val="22"/>
                <w:szCs w:val="22"/>
              </w:rPr>
            </w:pPr>
            <w:r w:rsidRPr="00D117ED">
              <w:rPr>
                <w:rFonts w:ascii="Arial Narrow" w:hAnsi="Arial Narrow"/>
                <w:sz w:val="22"/>
                <w:szCs w:val="22"/>
              </w:rPr>
              <w:t>Districts have developed differentiated of care models and welcome back campaigns towards reach 95-95-95</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March 2023 extended to April 2023 for budget in the new financial year.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Infrastructure  and cleanliness </w:t>
            </w:r>
          </w:p>
        </w:tc>
        <w:tc>
          <w:tcPr>
            <w:tcW w:w="2834" w:type="dxa"/>
          </w:tcPr>
          <w:p w:rsidR="00D117ED" w:rsidRPr="00D117ED" w:rsidRDefault="00D117ED" w:rsidP="00D117ED">
            <w:pPr>
              <w:pStyle w:val="ListParagraph"/>
              <w:numPr>
                <w:ilvl w:val="0"/>
                <w:numId w:val="17"/>
              </w:numPr>
              <w:jc w:val="both"/>
              <w:rPr>
                <w:rFonts w:ascii="Arial Narrow" w:eastAsia="Arial" w:hAnsi="Arial Narrow"/>
                <w:sz w:val="22"/>
                <w:szCs w:val="22"/>
              </w:rPr>
            </w:pPr>
            <w:r w:rsidRPr="00D117ED">
              <w:rPr>
                <w:rFonts w:ascii="Arial Narrow" w:eastAsia="Arial" w:hAnsi="Arial Narrow"/>
                <w:sz w:val="22"/>
                <w:szCs w:val="22"/>
              </w:rPr>
              <w:t>90% of facilities need some additional space</w:t>
            </w:r>
          </w:p>
          <w:p w:rsidR="00D117ED" w:rsidRPr="00D117ED" w:rsidRDefault="00D117ED" w:rsidP="00D117ED">
            <w:pPr>
              <w:pStyle w:val="ListParagraph"/>
              <w:numPr>
                <w:ilvl w:val="0"/>
                <w:numId w:val="17"/>
              </w:numPr>
              <w:jc w:val="both"/>
              <w:rPr>
                <w:rFonts w:ascii="Arial Narrow" w:hAnsi="Arial Narrow"/>
                <w:sz w:val="22"/>
                <w:szCs w:val="22"/>
              </w:rPr>
            </w:pPr>
            <w:r w:rsidRPr="00D117ED">
              <w:rPr>
                <w:rFonts w:ascii="Arial Narrow" w:eastAsia="Arial" w:hAnsi="Arial Narrow"/>
                <w:sz w:val="22"/>
                <w:szCs w:val="22"/>
              </w:rPr>
              <w:t xml:space="preserve">25% of public healthcare </w:t>
            </w:r>
            <w:r w:rsidRPr="00D117ED">
              <w:rPr>
                <w:rFonts w:ascii="Arial Narrow" w:eastAsia="Arial" w:hAnsi="Arial Narrow"/>
                <w:sz w:val="22"/>
                <w:szCs w:val="22"/>
              </w:rPr>
              <w:lastRenderedPageBreak/>
              <w:t>users reported that facilities were “dirty</w:t>
            </w:r>
          </w:p>
        </w:tc>
        <w:tc>
          <w:tcPr>
            <w:tcW w:w="2835" w:type="dxa"/>
          </w:tcPr>
          <w:p w:rsidR="00D117ED" w:rsidRPr="00D117ED" w:rsidRDefault="00D117ED" w:rsidP="00D117ED">
            <w:pPr>
              <w:pStyle w:val="ListParagraph"/>
              <w:numPr>
                <w:ilvl w:val="0"/>
                <w:numId w:val="17"/>
              </w:numPr>
              <w:jc w:val="both"/>
              <w:rPr>
                <w:rFonts w:ascii="Arial Narrow" w:hAnsi="Arial Narrow"/>
                <w:sz w:val="22"/>
                <w:szCs w:val="22"/>
              </w:rPr>
            </w:pPr>
            <w:r w:rsidRPr="00D117ED">
              <w:rPr>
                <w:rFonts w:ascii="Arial Narrow" w:hAnsi="Arial Narrow"/>
                <w:sz w:val="22"/>
                <w:szCs w:val="22"/>
              </w:rPr>
              <w:lastRenderedPageBreak/>
              <w:t xml:space="preserve">The infrastructure unit has received approval to allocate additional funding </w:t>
            </w:r>
            <w:r w:rsidRPr="00D117ED">
              <w:rPr>
                <w:rFonts w:ascii="Arial Narrow" w:hAnsi="Arial Narrow"/>
                <w:sz w:val="22"/>
                <w:szCs w:val="22"/>
              </w:rPr>
              <w:lastRenderedPageBreak/>
              <w:t xml:space="preserve">to maintenance and refurbishment of facilities earmarked for ideal clinic programme  </w:t>
            </w:r>
          </w:p>
          <w:p w:rsidR="00D117ED" w:rsidRPr="00D117ED" w:rsidRDefault="00D117ED" w:rsidP="00D117ED">
            <w:pPr>
              <w:pStyle w:val="ListParagraph"/>
              <w:ind w:left="360"/>
              <w:jc w:val="both"/>
              <w:rPr>
                <w:rFonts w:ascii="Arial Narrow" w:hAnsi="Arial Narrow"/>
                <w:sz w:val="22"/>
                <w:szCs w:val="22"/>
              </w:rPr>
            </w:pPr>
          </w:p>
          <w:p w:rsidR="00D117ED" w:rsidRPr="00D117ED" w:rsidRDefault="00D117ED" w:rsidP="00D117ED">
            <w:pPr>
              <w:pStyle w:val="ListParagraph"/>
              <w:numPr>
                <w:ilvl w:val="0"/>
                <w:numId w:val="17"/>
              </w:numPr>
              <w:jc w:val="both"/>
              <w:rPr>
                <w:rFonts w:ascii="Arial Narrow" w:hAnsi="Arial Narrow"/>
                <w:sz w:val="22"/>
                <w:szCs w:val="22"/>
              </w:rPr>
            </w:pPr>
            <w:r w:rsidRPr="00D117ED">
              <w:rPr>
                <w:rFonts w:ascii="Arial Narrow" w:hAnsi="Arial Narrow"/>
                <w:sz w:val="22"/>
                <w:szCs w:val="22"/>
              </w:rPr>
              <w:t xml:space="preserve">The department has appointed EPWP to assist with cleaning at health facilities to argument the current shortages </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lastRenderedPageBreak/>
              <w:t xml:space="preserve">March 2023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lastRenderedPageBreak/>
              <w:t>Waiting times</w:t>
            </w:r>
          </w:p>
        </w:tc>
        <w:tc>
          <w:tcPr>
            <w:tcW w:w="2834" w:type="dxa"/>
          </w:tcPr>
          <w:p w:rsidR="00D117ED" w:rsidRPr="00D117ED" w:rsidRDefault="00D117ED" w:rsidP="00D117ED">
            <w:pPr>
              <w:pStyle w:val="ListParagraph"/>
              <w:numPr>
                <w:ilvl w:val="0"/>
                <w:numId w:val="23"/>
              </w:numPr>
              <w:jc w:val="both"/>
              <w:rPr>
                <w:rFonts w:ascii="Arial Narrow" w:hAnsi="Arial Narrow"/>
                <w:sz w:val="22"/>
                <w:szCs w:val="22"/>
              </w:rPr>
            </w:pPr>
            <w:r w:rsidRPr="00D117ED">
              <w:rPr>
                <w:rFonts w:ascii="Arial Narrow" w:eastAsia="Arial" w:hAnsi="Arial Narrow"/>
                <w:sz w:val="22"/>
                <w:szCs w:val="22"/>
              </w:rPr>
              <w:t>4:31 hours was the average waiting time after the facility</w:t>
            </w:r>
          </w:p>
        </w:tc>
        <w:tc>
          <w:tcPr>
            <w:tcW w:w="2835" w:type="dxa"/>
          </w:tcPr>
          <w:p w:rsidR="00D117ED" w:rsidRPr="00D117ED" w:rsidRDefault="00D117ED" w:rsidP="00D117ED">
            <w:pPr>
              <w:pStyle w:val="ListParagraph"/>
              <w:numPr>
                <w:ilvl w:val="0"/>
                <w:numId w:val="23"/>
              </w:numPr>
              <w:jc w:val="both"/>
              <w:rPr>
                <w:rFonts w:ascii="Arial Narrow" w:hAnsi="Arial Narrow"/>
                <w:sz w:val="22"/>
                <w:szCs w:val="22"/>
              </w:rPr>
            </w:pPr>
            <w:r w:rsidRPr="00D117ED">
              <w:rPr>
                <w:rFonts w:ascii="Arial Narrow" w:hAnsi="Arial Narrow"/>
                <w:sz w:val="22"/>
                <w:szCs w:val="22"/>
              </w:rPr>
              <w:t xml:space="preserve">The department planned to decant more patients who are more stable on treatment to reduce backlog waiting time </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The department plans to appoint staff in the MTEF period</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Men specific services </w:t>
            </w:r>
          </w:p>
        </w:tc>
        <w:tc>
          <w:tcPr>
            <w:tcW w:w="2834" w:type="dxa"/>
          </w:tcPr>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eastAsia="Arial" w:hAnsi="Arial Narrow"/>
                <w:sz w:val="22"/>
                <w:szCs w:val="22"/>
              </w:rPr>
              <w:t>9 sites had no male specific services at all</w:t>
            </w:r>
          </w:p>
        </w:tc>
        <w:tc>
          <w:tcPr>
            <w:tcW w:w="2835" w:type="dxa"/>
          </w:tcPr>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 xml:space="preserve">The department plan to pilot a men’s clinics to HIV and  testing,  , male medical circumcision and other services  </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April 2023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Availability of medication </w:t>
            </w:r>
          </w:p>
        </w:tc>
        <w:tc>
          <w:tcPr>
            <w:tcW w:w="2834" w:type="dxa"/>
          </w:tcPr>
          <w:p w:rsidR="00D117ED" w:rsidRPr="00D117ED" w:rsidRDefault="00D117ED" w:rsidP="00D117ED">
            <w:pPr>
              <w:pStyle w:val="ListParagraph"/>
              <w:numPr>
                <w:ilvl w:val="0"/>
                <w:numId w:val="20"/>
              </w:numPr>
              <w:tabs>
                <w:tab w:val="left" w:pos="720"/>
              </w:tabs>
              <w:jc w:val="both"/>
              <w:rPr>
                <w:rFonts w:ascii="Arial Narrow" w:eastAsia="Arial" w:hAnsi="Arial Narrow"/>
                <w:sz w:val="22"/>
                <w:szCs w:val="22"/>
              </w:rPr>
            </w:pPr>
            <w:r w:rsidRPr="00D117ED">
              <w:rPr>
                <w:rFonts w:ascii="Arial Narrow" w:eastAsia="Arial" w:hAnsi="Arial Narrow"/>
                <w:sz w:val="22"/>
                <w:szCs w:val="22"/>
              </w:rPr>
              <w:t>13% of respondents said they had left or knew someone who left empty handed (8% last year)</w:t>
            </w:r>
          </w:p>
          <w:p w:rsidR="00D117ED" w:rsidRPr="00D117ED" w:rsidRDefault="00D117ED" w:rsidP="00D117ED">
            <w:pPr>
              <w:jc w:val="both"/>
              <w:rPr>
                <w:rFonts w:ascii="Arial Narrow" w:hAnsi="Arial Narrow"/>
                <w:sz w:val="22"/>
                <w:szCs w:val="22"/>
              </w:rPr>
            </w:pPr>
          </w:p>
        </w:tc>
        <w:tc>
          <w:tcPr>
            <w:tcW w:w="2835" w:type="dxa"/>
          </w:tcPr>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 xml:space="preserve">There are currently no shortage of ARV and monitored weekly using SVS </w:t>
            </w:r>
          </w:p>
          <w:p w:rsidR="00D117ED" w:rsidRPr="00D117ED" w:rsidRDefault="00D117ED" w:rsidP="00D117ED">
            <w:pPr>
              <w:jc w:val="both"/>
              <w:rPr>
                <w:rFonts w:ascii="Arial Narrow" w:hAnsi="Arial Narrow"/>
                <w:sz w:val="22"/>
                <w:szCs w:val="22"/>
              </w:rPr>
            </w:pPr>
          </w:p>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Facilities are implementing and monitoring  redistribution to ensure sustainability of medicine .</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Ongoing </w:t>
            </w:r>
          </w:p>
        </w:tc>
      </w:tr>
      <w:tr w:rsidR="00D117ED" w:rsidRPr="00D117ED" w:rsidTr="00D117ED">
        <w:tc>
          <w:tcPr>
            <w:tcW w:w="1701"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Key population </w:t>
            </w:r>
          </w:p>
        </w:tc>
        <w:tc>
          <w:tcPr>
            <w:tcW w:w="2834" w:type="dxa"/>
          </w:tcPr>
          <w:p w:rsidR="00D117ED" w:rsidRPr="00D117ED" w:rsidRDefault="00D117ED" w:rsidP="00D117ED">
            <w:pPr>
              <w:pStyle w:val="ListParagraph"/>
              <w:numPr>
                <w:ilvl w:val="0"/>
                <w:numId w:val="19"/>
              </w:numPr>
              <w:tabs>
                <w:tab w:val="left" w:pos="720"/>
              </w:tabs>
              <w:jc w:val="both"/>
              <w:rPr>
                <w:rFonts w:ascii="Arial Narrow" w:eastAsia="Arial" w:hAnsi="Arial Narrow"/>
                <w:sz w:val="22"/>
                <w:szCs w:val="22"/>
              </w:rPr>
            </w:pPr>
            <w:r w:rsidRPr="00D117ED">
              <w:rPr>
                <w:rFonts w:ascii="Arial Narrow" w:eastAsia="Arial" w:hAnsi="Arial Narrow"/>
                <w:sz w:val="22"/>
                <w:szCs w:val="22"/>
              </w:rPr>
              <w:t>0% facilities report any key population specific services at all</w:t>
            </w:r>
          </w:p>
          <w:p w:rsidR="00D117ED" w:rsidRPr="00D117ED" w:rsidRDefault="00D117ED" w:rsidP="00D117ED">
            <w:pPr>
              <w:jc w:val="both"/>
              <w:rPr>
                <w:rFonts w:ascii="Arial Narrow" w:hAnsi="Arial Narrow"/>
                <w:sz w:val="22"/>
                <w:szCs w:val="22"/>
              </w:rPr>
            </w:pPr>
          </w:p>
        </w:tc>
        <w:tc>
          <w:tcPr>
            <w:tcW w:w="2835" w:type="dxa"/>
          </w:tcPr>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 xml:space="preserve">The department has employed 25 peer educators to promote access for access for key population </w:t>
            </w:r>
          </w:p>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 xml:space="preserve">Also do demand creation for key population </w:t>
            </w:r>
          </w:p>
          <w:p w:rsidR="00D117ED" w:rsidRPr="00D117ED" w:rsidRDefault="00D117ED" w:rsidP="00D117ED">
            <w:pPr>
              <w:pStyle w:val="ListParagraph"/>
              <w:numPr>
                <w:ilvl w:val="0"/>
                <w:numId w:val="21"/>
              </w:numPr>
              <w:jc w:val="both"/>
              <w:rPr>
                <w:rFonts w:ascii="Arial Narrow" w:hAnsi="Arial Narrow"/>
                <w:sz w:val="22"/>
                <w:szCs w:val="22"/>
              </w:rPr>
            </w:pPr>
            <w:r w:rsidRPr="00D117ED">
              <w:rPr>
                <w:rFonts w:ascii="Arial Narrow" w:hAnsi="Arial Narrow"/>
                <w:sz w:val="22"/>
                <w:szCs w:val="22"/>
              </w:rPr>
              <w:t xml:space="preserve">The plan is to expand the peer educators service  over the METF to insure accessibility to key population </w:t>
            </w:r>
          </w:p>
        </w:tc>
        <w:tc>
          <w:tcPr>
            <w:tcW w:w="2552" w:type="dxa"/>
          </w:tcPr>
          <w:p w:rsidR="00D117ED" w:rsidRPr="00D117ED" w:rsidRDefault="00D117ED" w:rsidP="00D117ED">
            <w:pPr>
              <w:jc w:val="both"/>
              <w:rPr>
                <w:rFonts w:ascii="Arial Narrow" w:hAnsi="Arial Narrow"/>
                <w:sz w:val="22"/>
                <w:szCs w:val="22"/>
              </w:rPr>
            </w:pPr>
            <w:r w:rsidRPr="00D117ED">
              <w:rPr>
                <w:rFonts w:ascii="Arial Narrow" w:hAnsi="Arial Narrow"/>
                <w:sz w:val="22"/>
                <w:szCs w:val="22"/>
              </w:rPr>
              <w:t xml:space="preserve">April 2023 </w:t>
            </w:r>
          </w:p>
        </w:tc>
      </w:tr>
    </w:tbl>
    <w:p w:rsidR="00D117ED" w:rsidRPr="00D117ED" w:rsidRDefault="00D117ED" w:rsidP="00D117ED">
      <w:pPr>
        <w:spacing w:line="240" w:lineRule="auto"/>
        <w:jc w:val="both"/>
        <w:rPr>
          <w:rFonts w:ascii="Arial" w:hAnsi="Arial" w:cs="Arial"/>
          <w:b/>
          <w:sz w:val="24"/>
          <w:szCs w:val="24"/>
          <w:u w:val="single"/>
        </w:rPr>
      </w:pPr>
    </w:p>
    <w:p w:rsidR="00D117ED" w:rsidRPr="00D117ED" w:rsidRDefault="00D117ED" w:rsidP="00D117ED">
      <w:pPr>
        <w:spacing w:line="240" w:lineRule="auto"/>
        <w:jc w:val="both"/>
        <w:rPr>
          <w:rFonts w:ascii="Arial" w:hAnsi="Arial" w:cs="Arial"/>
          <w:b/>
          <w:sz w:val="24"/>
          <w:szCs w:val="24"/>
          <w:u w:val="single"/>
        </w:rPr>
      </w:pPr>
      <w:r w:rsidRPr="00D117ED">
        <w:rPr>
          <w:rFonts w:ascii="Arial" w:hAnsi="Arial" w:cs="Arial"/>
          <w:b/>
          <w:sz w:val="24"/>
          <w:szCs w:val="24"/>
          <w:u w:val="single"/>
        </w:rPr>
        <w:t>Some of the key general activities and plans</w:t>
      </w:r>
    </w:p>
    <w:p w:rsidR="00D117ED" w:rsidRPr="00D117ED" w:rsidRDefault="00D117ED" w:rsidP="00D117ED">
      <w:pPr>
        <w:pStyle w:val="ListParagraph"/>
        <w:numPr>
          <w:ilvl w:val="0"/>
          <w:numId w:val="16"/>
        </w:numPr>
        <w:spacing w:after="240" w:line="240" w:lineRule="auto"/>
        <w:ind w:hanging="720"/>
        <w:contextualSpacing w:val="0"/>
        <w:jc w:val="both"/>
        <w:rPr>
          <w:rFonts w:ascii="Arial" w:hAnsi="Arial" w:cs="Arial"/>
          <w:sz w:val="24"/>
          <w:szCs w:val="24"/>
        </w:rPr>
      </w:pPr>
      <w:r w:rsidRPr="00D117ED">
        <w:rPr>
          <w:rFonts w:ascii="Arial" w:hAnsi="Arial" w:cs="Arial"/>
          <w:sz w:val="24"/>
          <w:szCs w:val="24"/>
        </w:rPr>
        <w:t>Welcome back strategy was started in 2020/ 21 financial year but not fully implemented due to the COVID-19 pandemic.</w:t>
      </w:r>
    </w:p>
    <w:p w:rsidR="00D117ED" w:rsidRPr="00D117ED" w:rsidRDefault="00D117ED" w:rsidP="00D117ED">
      <w:pPr>
        <w:pStyle w:val="ListParagraph"/>
        <w:numPr>
          <w:ilvl w:val="0"/>
          <w:numId w:val="16"/>
        </w:numPr>
        <w:spacing w:after="240" w:line="240" w:lineRule="auto"/>
        <w:ind w:hanging="720"/>
        <w:contextualSpacing w:val="0"/>
        <w:jc w:val="both"/>
        <w:rPr>
          <w:rFonts w:ascii="Arial" w:hAnsi="Arial" w:cs="Arial"/>
          <w:sz w:val="24"/>
          <w:szCs w:val="24"/>
        </w:rPr>
      </w:pPr>
      <w:r w:rsidRPr="00D117ED">
        <w:rPr>
          <w:rFonts w:ascii="Arial" w:hAnsi="Arial" w:cs="Arial"/>
          <w:sz w:val="24"/>
          <w:szCs w:val="24"/>
        </w:rPr>
        <w:t xml:space="preserve">The department planned to re- train all categories of staff. </w:t>
      </w:r>
    </w:p>
    <w:p w:rsidR="00D117ED" w:rsidRPr="00D117ED" w:rsidRDefault="00D117ED" w:rsidP="00D117ED">
      <w:pPr>
        <w:pStyle w:val="ListParagraph"/>
        <w:numPr>
          <w:ilvl w:val="0"/>
          <w:numId w:val="16"/>
        </w:numPr>
        <w:spacing w:after="240" w:line="240" w:lineRule="auto"/>
        <w:ind w:hanging="720"/>
        <w:contextualSpacing w:val="0"/>
        <w:jc w:val="both"/>
        <w:rPr>
          <w:rFonts w:ascii="Arial" w:hAnsi="Arial" w:cs="Arial"/>
          <w:sz w:val="24"/>
          <w:szCs w:val="24"/>
        </w:rPr>
      </w:pPr>
      <w:r w:rsidRPr="00D117ED">
        <w:rPr>
          <w:rFonts w:ascii="Arial" w:hAnsi="Arial" w:cs="Arial"/>
          <w:sz w:val="24"/>
          <w:szCs w:val="24"/>
        </w:rPr>
        <w:t>To strengthen adherence to treatment through reviving adherence clubs.</w:t>
      </w:r>
    </w:p>
    <w:p w:rsidR="00D117ED" w:rsidRPr="00D117ED" w:rsidRDefault="00D117ED" w:rsidP="00D117ED">
      <w:pPr>
        <w:pStyle w:val="ListParagraph"/>
        <w:numPr>
          <w:ilvl w:val="0"/>
          <w:numId w:val="16"/>
        </w:numPr>
        <w:spacing w:after="240" w:line="240" w:lineRule="auto"/>
        <w:ind w:hanging="720"/>
        <w:contextualSpacing w:val="0"/>
        <w:jc w:val="both"/>
        <w:rPr>
          <w:rFonts w:ascii="Arial" w:hAnsi="Arial" w:cs="Arial"/>
          <w:sz w:val="24"/>
          <w:szCs w:val="24"/>
        </w:rPr>
      </w:pPr>
      <w:r w:rsidRPr="00D117ED">
        <w:rPr>
          <w:rFonts w:ascii="Arial" w:hAnsi="Arial" w:cs="Arial"/>
          <w:sz w:val="24"/>
          <w:szCs w:val="24"/>
        </w:rPr>
        <w:t>Implementation of the track and tracing Standard Operating Procedure (SOP).</w:t>
      </w:r>
    </w:p>
    <w:p w:rsidR="00D117ED" w:rsidRPr="00D117ED" w:rsidRDefault="00D117ED" w:rsidP="00D117ED">
      <w:pPr>
        <w:pStyle w:val="ListParagraph"/>
        <w:numPr>
          <w:ilvl w:val="0"/>
          <w:numId w:val="16"/>
        </w:numPr>
        <w:spacing w:after="240" w:line="240" w:lineRule="auto"/>
        <w:ind w:hanging="720"/>
        <w:contextualSpacing w:val="0"/>
        <w:jc w:val="both"/>
        <w:rPr>
          <w:rFonts w:ascii="Arial" w:hAnsi="Arial" w:cs="Arial"/>
          <w:sz w:val="24"/>
          <w:szCs w:val="24"/>
        </w:rPr>
      </w:pPr>
      <w:r w:rsidRPr="00D117ED">
        <w:rPr>
          <w:rFonts w:ascii="Arial" w:hAnsi="Arial" w:cs="Arial"/>
          <w:sz w:val="24"/>
          <w:szCs w:val="24"/>
        </w:rPr>
        <w:t>Monitoring of Medicine availability is done through Stock status report.</w:t>
      </w:r>
    </w:p>
    <w:p w:rsidR="007310ED" w:rsidRPr="00D117ED" w:rsidRDefault="007310ED" w:rsidP="00D117ED">
      <w:pPr>
        <w:pStyle w:val="p2"/>
        <w:ind w:left="720" w:hanging="720"/>
        <w:jc w:val="both"/>
        <w:rPr>
          <w:sz w:val="24"/>
          <w:szCs w:val="24"/>
        </w:rPr>
      </w:pPr>
    </w:p>
    <w:p w:rsidR="00E134D1" w:rsidRPr="00D117ED" w:rsidRDefault="00B92BFD" w:rsidP="00D117ED">
      <w:pPr>
        <w:spacing w:line="240" w:lineRule="auto"/>
        <w:jc w:val="both"/>
        <w:rPr>
          <w:rFonts w:ascii="Arial" w:hAnsi="Arial" w:cs="Arial"/>
          <w:color w:val="000000" w:themeColor="text1"/>
          <w:sz w:val="24"/>
          <w:szCs w:val="24"/>
          <w:lang w:val="en-US"/>
        </w:rPr>
      </w:pPr>
      <w:r w:rsidRPr="00D117ED">
        <w:rPr>
          <w:rFonts w:ascii="Arial" w:hAnsi="Arial" w:cs="Arial"/>
          <w:sz w:val="24"/>
          <w:szCs w:val="24"/>
          <w:lang w:val="en-US"/>
        </w:rPr>
        <w:t>END.</w:t>
      </w:r>
    </w:p>
    <w:sectPr w:rsidR="00E134D1" w:rsidRPr="00D117ED"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3E" w:rsidRDefault="00FA6E3E" w:rsidP="00BF747C">
      <w:pPr>
        <w:spacing w:after="0" w:line="240" w:lineRule="auto"/>
      </w:pPr>
      <w:r>
        <w:separator/>
      </w:r>
    </w:p>
  </w:endnote>
  <w:endnote w:type="continuationSeparator" w:id="0">
    <w:p w:rsidR="00FA6E3E" w:rsidRDefault="00FA6E3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1862CA">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FA6E3E">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3E" w:rsidRDefault="00FA6E3E" w:rsidP="00BF747C">
      <w:pPr>
        <w:spacing w:after="0" w:line="240" w:lineRule="auto"/>
      </w:pPr>
      <w:r>
        <w:separator/>
      </w:r>
    </w:p>
  </w:footnote>
  <w:footnote w:type="continuationSeparator" w:id="0">
    <w:p w:rsidR="00FA6E3E" w:rsidRDefault="00FA6E3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16EA"/>
    <w:multiLevelType w:val="hybridMultilevel"/>
    <w:tmpl w:val="E024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5CD16E1"/>
    <w:multiLevelType w:val="hybridMultilevel"/>
    <w:tmpl w:val="D92AA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CF349B8"/>
    <w:multiLevelType w:val="hybridMultilevel"/>
    <w:tmpl w:val="18060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647128"/>
    <w:multiLevelType w:val="hybridMultilevel"/>
    <w:tmpl w:val="6C289B06"/>
    <w:lvl w:ilvl="0" w:tplc="5A1A33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440F3A84"/>
    <w:multiLevelType w:val="hybridMultilevel"/>
    <w:tmpl w:val="4678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F0947"/>
    <w:multiLevelType w:val="hybridMultilevel"/>
    <w:tmpl w:val="41FA6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63296C7E"/>
    <w:multiLevelType w:val="hybridMultilevel"/>
    <w:tmpl w:val="DE4CC7C6"/>
    <w:lvl w:ilvl="0" w:tplc="191464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6615936"/>
    <w:multiLevelType w:val="hybridMultilevel"/>
    <w:tmpl w:val="6916E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C3750DE"/>
    <w:multiLevelType w:val="hybridMultilevel"/>
    <w:tmpl w:val="01C2C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C473A1"/>
    <w:multiLevelType w:val="hybridMultilevel"/>
    <w:tmpl w:val="292CC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24"/>
  </w:num>
  <w:num w:numId="5">
    <w:abstractNumId w:val="4"/>
  </w:num>
  <w:num w:numId="6">
    <w:abstractNumId w:val="18"/>
  </w:num>
  <w:num w:numId="7">
    <w:abstractNumId w:val="13"/>
  </w:num>
  <w:num w:numId="8">
    <w:abstractNumId w:val="1"/>
  </w:num>
  <w:num w:numId="9">
    <w:abstractNumId w:val="11"/>
  </w:num>
  <w:num w:numId="10">
    <w:abstractNumId w:val="9"/>
  </w:num>
  <w:num w:numId="11">
    <w:abstractNumId w:val="12"/>
  </w:num>
  <w:num w:numId="12">
    <w:abstractNumId w:val="6"/>
  </w:num>
  <w:num w:numId="13">
    <w:abstractNumId w:val="17"/>
  </w:num>
  <w:num w:numId="14">
    <w:abstractNumId w:val="2"/>
  </w:num>
  <w:num w:numId="15">
    <w:abstractNumId w:val="21"/>
  </w:num>
  <w:num w:numId="16">
    <w:abstractNumId w:val="5"/>
  </w:num>
  <w:num w:numId="17">
    <w:abstractNumId w:val="3"/>
  </w:num>
  <w:num w:numId="18">
    <w:abstractNumId w:val="14"/>
  </w:num>
  <w:num w:numId="19">
    <w:abstractNumId w:val="16"/>
  </w:num>
  <w:num w:numId="20">
    <w:abstractNumId w:val="20"/>
  </w:num>
  <w:num w:numId="21">
    <w:abstractNumId w:val="22"/>
  </w:num>
  <w:num w:numId="22">
    <w:abstractNumId w:val="8"/>
  </w:num>
  <w:num w:numId="23">
    <w:abstractNumId w:val="23"/>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862CA"/>
    <w:rsid w:val="00192FB1"/>
    <w:rsid w:val="001C17A9"/>
    <w:rsid w:val="001D4F31"/>
    <w:rsid w:val="001E1EDF"/>
    <w:rsid w:val="001F5233"/>
    <w:rsid w:val="002032D2"/>
    <w:rsid w:val="0020357C"/>
    <w:rsid w:val="002133B8"/>
    <w:rsid w:val="00242DDF"/>
    <w:rsid w:val="00254C98"/>
    <w:rsid w:val="00280359"/>
    <w:rsid w:val="002855FA"/>
    <w:rsid w:val="002A6A95"/>
    <w:rsid w:val="00396F5D"/>
    <w:rsid w:val="003C28E2"/>
    <w:rsid w:val="003F3E66"/>
    <w:rsid w:val="00423784"/>
    <w:rsid w:val="00431A61"/>
    <w:rsid w:val="00467793"/>
    <w:rsid w:val="00474CEF"/>
    <w:rsid w:val="004862BD"/>
    <w:rsid w:val="00492691"/>
    <w:rsid w:val="004A0D6F"/>
    <w:rsid w:val="004A51DF"/>
    <w:rsid w:val="004A56C5"/>
    <w:rsid w:val="004C5AF0"/>
    <w:rsid w:val="004C7A6A"/>
    <w:rsid w:val="004F04E9"/>
    <w:rsid w:val="005021BA"/>
    <w:rsid w:val="0054543E"/>
    <w:rsid w:val="00595BE2"/>
    <w:rsid w:val="005C4A4A"/>
    <w:rsid w:val="005C54D1"/>
    <w:rsid w:val="005C5F0A"/>
    <w:rsid w:val="006228AA"/>
    <w:rsid w:val="00646460"/>
    <w:rsid w:val="006F19AF"/>
    <w:rsid w:val="006F49AE"/>
    <w:rsid w:val="006F68C1"/>
    <w:rsid w:val="00714683"/>
    <w:rsid w:val="007310ED"/>
    <w:rsid w:val="007C45DC"/>
    <w:rsid w:val="007D3789"/>
    <w:rsid w:val="007F0AE0"/>
    <w:rsid w:val="007F3AA9"/>
    <w:rsid w:val="00887F4F"/>
    <w:rsid w:val="00896F99"/>
    <w:rsid w:val="008B0BC5"/>
    <w:rsid w:val="008C527F"/>
    <w:rsid w:val="008C6BEE"/>
    <w:rsid w:val="008E64C0"/>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15624"/>
    <w:rsid w:val="00B3497E"/>
    <w:rsid w:val="00B37286"/>
    <w:rsid w:val="00B52B2A"/>
    <w:rsid w:val="00B57B69"/>
    <w:rsid w:val="00B62232"/>
    <w:rsid w:val="00B82A02"/>
    <w:rsid w:val="00B92BFD"/>
    <w:rsid w:val="00BE6DE5"/>
    <w:rsid w:val="00BF2D39"/>
    <w:rsid w:val="00BF747C"/>
    <w:rsid w:val="00C04731"/>
    <w:rsid w:val="00C43731"/>
    <w:rsid w:val="00C7269F"/>
    <w:rsid w:val="00C95FFF"/>
    <w:rsid w:val="00CE2151"/>
    <w:rsid w:val="00D0246C"/>
    <w:rsid w:val="00D117ED"/>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A6E3E"/>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2022-11-02T09:56:00Z</dcterms:created>
  <dcterms:modified xsi:type="dcterms:W3CDTF">2022-11-02T09:56:00Z</dcterms:modified>
</cp:coreProperties>
</file>