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E" w:rsidRPr="00F10642" w:rsidRDefault="00F647CE" w:rsidP="00F647CE">
      <w:pPr>
        <w:jc w:val="both"/>
        <w:rPr>
          <w:szCs w:val="24"/>
        </w:rPr>
      </w:pPr>
      <w:r w:rsidRPr="00F10642">
        <w:rPr>
          <w:szCs w:val="24"/>
        </w:rPr>
        <w:t xml:space="preserve">QUOTE </w:t>
      </w:r>
    </w:p>
    <w:p w:rsidR="00F647CE" w:rsidRPr="00F10642" w:rsidRDefault="00F647CE" w:rsidP="00F647CE">
      <w:pPr>
        <w:ind w:left="1440" w:firstLine="720"/>
        <w:jc w:val="both"/>
        <w:rPr>
          <w:b/>
          <w:szCs w:val="24"/>
        </w:rPr>
      </w:pPr>
    </w:p>
    <w:p w:rsidR="00F647CE" w:rsidRPr="00F10642" w:rsidRDefault="00F647CE" w:rsidP="00F647CE">
      <w:pPr>
        <w:ind w:left="1440" w:firstLine="720"/>
        <w:jc w:val="both"/>
        <w:rPr>
          <w:b/>
          <w:szCs w:val="24"/>
        </w:rPr>
      </w:pPr>
    </w:p>
    <w:p w:rsidR="00F647CE" w:rsidRPr="00F10642" w:rsidRDefault="00F647CE" w:rsidP="00F647CE">
      <w:pPr>
        <w:pStyle w:val="Heading3"/>
        <w:jc w:val="both"/>
        <w:rPr>
          <w:szCs w:val="24"/>
          <w:lang w:val="en-GB"/>
        </w:rPr>
      </w:pPr>
      <w:r w:rsidRPr="00F10642">
        <w:rPr>
          <w:szCs w:val="24"/>
          <w:lang w:val="en-GB"/>
        </w:rPr>
        <w:t>NATIONAL ASSEMBLY</w:t>
      </w:r>
    </w:p>
    <w:p w:rsidR="00F647CE" w:rsidRPr="00F10642" w:rsidRDefault="00F647CE" w:rsidP="00F647CE">
      <w:pPr>
        <w:jc w:val="both"/>
        <w:rPr>
          <w:b/>
          <w:szCs w:val="24"/>
        </w:rPr>
      </w:pPr>
    </w:p>
    <w:p w:rsidR="00F647CE" w:rsidRPr="00F10642" w:rsidRDefault="00F647CE" w:rsidP="00F647CE">
      <w:pPr>
        <w:jc w:val="both"/>
        <w:rPr>
          <w:b/>
          <w:szCs w:val="24"/>
        </w:rPr>
      </w:pPr>
      <w:r w:rsidRPr="00F10642">
        <w:rPr>
          <w:b/>
          <w:szCs w:val="24"/>
        </w:rPr>
        <w:t>FOR WRITTEN REPLY</w:t>
      </w:r>
    </w:p>
    <w:p w:rsidR="00F647CE" w:rsidRPr="00F10642" w:rsidRDefault="00F647CE" w:rsidP="00F647CE">
      <w:pPr>
        <w:pStyle w:val="Heading1"/>
        <w:jc w:val="both"/>
        <w:rPr>
          <w:szCs w:val="24"/>
        </w:rPr>
      </w:pPr>
    </w:p>
    <w:p w:rsidR="00F647CE" w:rsidRPr="00F274F9" w:rsidRDefault="00F647CE" w:rsidP="00F647CE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</w:rPr>
      </w:pPr>
      <w:r w:rsidRPr="00F274F9">
        <w:rPr>
          <w:b/>
          <w:szCs w:val="24"/>
        </w:rPr>
        <w:t xml:space="preserve">QUESTION </w:t>
      </w:r>
      <w:proofErr w:type="gramStart"/>
      <w:r w:rsidRPr="00F274F9">
        <w:rPr>
          <w:b/>
          <w:szCs w:val="24"/>
        </w:rPr>
        <w:t xml:space="preserve">NO </w:t>
      </w:r>
      <w:r>
        <w:rPr>
          <w:b/>
          <w:szCs w:val="24"/>
          <w:lang w:val="en-ZA"/>
        </w:rPr>
        <w:t>:</w:t>
      </w:r>
      <w:proofErr w:type="gramEnd"/>
      <w:r>
        <w:rPr>
          <w:b/>
          <w:szCs w:val="24"/>
          <w:lang w:val="en-ZA"/>
        </w:rPr>
        <w:t xml:space="preserve"> 3711</w:t>
      </w:r>
    </w:p>
    <w:p w:rsidR="00F647CE" w:rsidRPr="00F274F9" w:rsidRDefault="00F647CE" w:rsidP="00F647CE">
      <w:pPr>
        <w:jc w:val="both"/>
        <w:rPr>
          <w:b/>
          <w:szCs w:val="24"/>
        </w:rPr>
      </w:pPr>
    </w:p>
    <w:p w:rsidR="00F647CE" w:rsidRPr="00F274F9" w:rsidRDefault="00F647CE" w:rsidP="00F647CE">
      <w:pPr>
        <w:jc w:val="both"/>
        <w:rPr>
          <w:b/>
          <w:szCs w:val="24"/>
        </w:rPr>
      </w:pPr>
      <w:r w:rsidRPr="00F274F9">
        <w:rPr>
          <w:b/>
          <w:szCs w:val="24"/>
        </w:rPr>
        <w:t xml:space="preserve">PUBLISHED IN INTERNAL QUESTION PAPER NO: </w:t>
      </w:r>
      <w:r>
        <w:rPr>
          <w:b/>
          <w:szCs w:val="24"/>
          <w:u w:val="single"/>
        </w:rPr>
        <w:t xml:space="preserve">42 </w:t>
      </w:r>
      <w:r w:rsidRPr="00EE0981">
        <w:rPr>
          <w:b/>
          <w:szCs w:val="24"/>
          <w:u w:val="single"/>
        </w:rPr>
        <w:t>OF 2017</w:t>
      </w:r>
    </w:p>
    <w:p w:rsidR="00F647CE" w:rsidRDefault="00F647CE" w:rsidP="00F647CE">
      <w:pPr>
        <w:jc w:val="both"/>
        <w:rPr>
          <w:b/>
          <w:bCs/>
          <w:szCs w:val="24"/>
        </w:rPr>
      </w:pPr>
    </w:p>
    <w:p w:rsidR="00F647CE" w:rsidRDefault="00F647CE" w:rsidP="00F647CE">
      <w:pPr>
        <w:jc w:val="both"/>
        <w:rPr>
          <w:b/>
          <w:bCs/>
          <w:szCs w:val="24"/>
        </w:rPr>
      </w:pPr>
    </w:p>
    <w:p w:rsidR="00F647CE" w:rsidRPr="008A7245" w:rsidRDefault="00F647CE" w:rsidP="00F647CE">
      <w:pPr>
        <w:jc w:val="both"/>
        <w:outlineLvl w:val="0"/>
        <w:rPr>
          <w:rFonts w:eastAsia="Calibri"/>
          <w:b/>
          <w:szCs w:val="24"/>
          <w:lang w:val="af-ZA"/>
        </w:rPr>
      </w:pPr>
      <w:r w:rsidRPr="008A7245">
        <w:rPr>
          <w:b/>
          <w:bCs/>
          <w:szCs w:val="24"/>
        </w:rPr>
        <w:t xml:space="preserve">Ms SV </w:t>
      </w:r>
      <w:proofErr w:type="spellStart"/>
      <w:r w:rsidRPr="008A7245">
        <w:rPr>
          <w:b/>
          <w:bCs/>
          <w:szCs w:val="24"/>
        </w:rPr>
        <w:t>Kalyan</w:t>
      </w:r>
      <w:proofErr w:type="spellEnd"/>
      <w:r w:rsidRPr="008A7245">
        <w:rPr>
          <w:b/>
          <w:bCs/>
          <w:szCs w:val="24"/>
        </w:rPr>
        <w:t xml:space="preserve"> (DA)</w:t>
      </w:r>
      <w:r w:rsidRPr="008A7245">
        <w:rPr>
          <w:rFonts w:eastAsia="Calibri"/>
          <w:b/>
          <w:szCs w:val="24"/>
          <w:lang w:val="af-ZA"/>
        </w:rPr>
        <w:t xml:space="preserve"> to ask the Minister of International Relations and Cooperation:</w:t>
      </w:r>
    </w:p>
    <w:p w:rsidR="00F647CE" w:rsidRPr="008A7245" w:rsidRDefault="00F647CE" w:rsidP="00F647CE">
      <w:pPr>
        <w:ind w:left="851"/>
        <w:jc w:val="both"/>
        <w:rPr>
          <w:rFonts w:eastAsia="Calibri"/>
          <w:szCs w:val="24"/>
          <w:lang w:val="af-ZA"/>
        </w:rPr>
      </w:pPr>
    </w:p>
    <w:p w:rsidR="00F647CE" w:rsidRDefault="00F647CE" w:rsidP="00F647CE">
      <w:pPr>
        <w:ind w:left="709"/>
        <w:jc w:val="both"/>
        <w:rPr>
          <w:rFonts w:eastAsia="Calibri"/>
          <w:szCs w:val="24"/>
        </w:rPr>
      </w:pPr>
      <w:r w:rsidRPr="008A7245">
        <w:rPr>
          <w:rFonts w:eastAsia="Calibri"/>
          <w:szCs w:val="24"/>
        </w:rPr>
        <w:t>Whether any steps has been taken to ensure that officials adhere to (a) supply chain management and (b) procurement processes; if not, why not; if so</w:t>
      </w:r>
      <w:r>
        <w:rPr>
          <w:rFonts w:eastAsia="Calibri"/>
          <w:szCs w:val="24"/>
        </w:rPr>
        <w:t>, what are the relevant details? NW4144E</w:t>
      </w:r>
    </w:p>
    <w:p w:rsidR="00F647CE" w:rsidRDefault="00F647CE" w:rsidP="00F647CE">
      <w:pPr>
        <w:ind w:left="709"/>
        <w:jc w:val="both"/>
        <w:rPr>
          <w:rFonts w:eastAsia="Calibri"/>
          <w:szCs w:val="24"/>
        </w:rPr>
      </w:pPr>
    </w:p>
    <w:p w:rsidR="00F647CE" w:rsidRPr="0066769A" w:rsidRDefault="00F647CE" w:rsidP="00F647CE">
      <w:pPr>
        <w:ind w:left="709"/>
        <w:jc w:val="both"/>
        <w:rPr>
          <w:rFonts w:eastAsia="Calibri"/>
          <w:szCs w:val="24"/>
          <w:lang w:val="af-ZA"/>
        </w:rPr>
      </w:pPr>
      <w:r>
        <w:rPr>
          <w:rFonts w:eastAsia="Calibri"/>
          <w:szCs w:val="24"/>
        </w:rPr>
        <w:t>Reply:</w:t>
      </w:r>
      <w:r w:rsidRPr="00F274F9">
        <w:rPr>
          <w:snapToGrid w:val="0"/>
          <w:szCs w:val="24"/>
        </w:rPr>
        <w:t xml:space="preserve"> </w:t>
      </w:r>
    </w:p>
    <w:p w:rsidR="00F647CE" w:rsidRDefault="00F647CE" w:rsidP="00F647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snapToGrid w:val="0"/>
          <w:szCs w:val="24"/>
        </w:rPr>
      </w:pPr>
    </w:p>
    <w:p w:rsidR="00F647CE" w:rsidRPr="00F274F9" w:rsidRDefault="00F647CE" w:rsidP="00F647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snapToGrid w:val="0"/>
          <w:szCs w:val="24"/>
        </w:rPr>
      </w:pPr>
    </w:p>
    <w:p w:rsidR="00F647CE" w:rsidRPr="005117BA" w:rsidRDefault="00F647CE" w:rsidP="00F647CE">
      <w:pPr>
        <w:tabs>
          <w:tab w:val="left" w:pos="720"/>
        </w:tabs>
        <w:ind w:left="709"/>
        <w:jc w:val="both"/>
        <w:rPr>
          <w:szCs w:val="24"/>
        </w:rPr>
      </w:pPr>
      <w:r w:rsidRPr="005117BA">
        <w:rPr>
          <w:szCs w:val="24"/>
        </w:rPr>
        <w:t xml:space="preserve">The Department of International Relations and Cooperation has taken the following steps to ensure officials adhere to </w:t>
      </w:r>
    </w:p>
    <w:p w:rsidR="00F647CE" w:rsidRPr="005117BA" w:rsidRDefault="00F647CE" w:rsidP="00F647CE">
      <w:pPr>
        <w:tabs>
          <w:tab w:val="left" w:pos="720"/>
        </w:tabs>
        <w:ind w:left="709"/>
        <w:jc w:val="both"/>
        <w:rPr>
          <w:szCs w:val="24"/>
        </w:rPr>
      </w:pPr>
    </w:p>
    <w:p w:rsidR="00F647CE" w:rsidRPr="005117BA" w:rsidRDefault="00F647CE" w:rsidP="00F647CE">
      <w:pPr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 w:rsidRPr="005117BA">
        <w:rPr>
          <w:szCs w:val="24"/>
        </w:rPr>
        <w:t>supply chain management;</w:t>
      </w:r>
    </w:p>
    <w:p w:rsidR="00F647CE" w:rsidRDefault="00F647CE" w:rsidP="00F647CE">
      <w:pPr>
        <w:numPr>
          <w:ilvl w:val="0"/>
          <w:numId w:val="2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5117BA">
        <w:rPr>
          <w:szCs w:val="24"/>
        </w:rPr>
        <w:t>Revised the Supply Chain Management Framework alignment with the various National Treasury SCM Instructions.</w:t>
      </w:r>
    </w:p>
    <w:p w:rsidR="00F647CE" w:rsidRDefault="00F647CE" w:rsidP="00F647CE">
      <w:pPr>
        <w:numPr>
          <w:ilvl w:val="0"/>
          <w:numId w:val="2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3F52C0">
        <w:rPr>
          <w:szCs w:val="24"/>
        </w:rPr>
        <w:t>Developed Financial Misconduct Policy and Procedure.</w:t>
      </w:r>
    </w:p>
    <w:p w:rsidR="00F647CE" w:rsidRDefault="00F647CE" w:rsidP="00F647CE">
      <w:pPr>
        <w:numPr>
          <w:ilvl w:val="0"/>
          <w:numId w:val="2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3F52C0">
        <w:rPr>
          <w:szCs w:val="24"/>
        </w:rPr>
        <w:t>Revised the Financial Delegation of Authorities consistent with the National Treasury approved threshold.</w:t>
      </w:r>
    </w:p>
    <w:p w:rsidR="00F647CE" w:rsidRPr="003F52C0" w:rsidRDefault="00F647CE" w:rsidP="00F647CE">
      <w:pPr>
        <w:numPr>
          <w:ilvl w:val="0"/>
          <w:numId w:val="2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3F52C0">
        <w:rPr>
          <w:szCs w:val="24"/>
        </w:rPr>
        <w:t>Established an Internal Control Unit to monitor compliance and further enhance effectiveness of the internal controls.</w:t>
      </w:r>
    </w:p>
    <w:p w:rsidR="00F647CE" w:rsidRPr="005117BA" w:rsidRDefault="00F647CE" w:rsidP="00F647CE">
      <w:pPr>
        <w:tabs>
          <w:tab w:val="left" w:pos="1701"/>
        </w:tabs>
        <w:ind w:left="1276" w:hanging="567"/>
        <w:jc w:val="both"/>
        <w:rPr>
          <w:szCs w:val="24"/>
        </w:rPr>
      </w:pPr>
    </w:p>
    <w:p w:rsidR="00F647CE" w:rsidRPr="00AC2CA6" w:rsidRDefault="00F647CE" w:rsidP="00F647CE">
      <w:pPr>
        <w:numPr>
          <w:ilvl w:val="0"/>
          <w:numId w:val="1"/>
        </w:numPr>
        <w:tabs>
          <w:tab w:val="left" w:pos="1276"/>
        </w:tabs>
        <w:ind w:left="1134" w:hanging="425"/>
        <w:jc w:val="both"/>
        <w:rPr>
          <w:szCs w:val="24"/>
        </w:rPr>
      </w:pPr>
      <w:r w:rsidRPr="00AC2CA6">
        <w:rPr>
          <w:szCs w:val="24"/>
        </w:rPr>
        <w:t xml:space="preserve">procurement process; </w:t>
      </w:r>
    </w:p>
    <w:p w:rsidR="00F647CE" w:rsidRPr="00AC2CA6" w:rsidRDefault="00F647CE" w:rsidP="00F647CE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AC2CA6">
        <w:rPr>
          <w:szCs w:val="24"/>
        </w:rPr>
        <w:t>Established three bid committee to facilitate procurements for threshold of above R500 000.</w:t>
      </w:r>
    </w:p>
    <w:p w:rsidR="00F647CE" w:rsidRPr="00AC2CA6" w:rsidRDefault="00F647CE" w:rsidP="00F647CE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AC2CA6">
        <w:rPr>
          <w:szCs w:val="24"/>
        </w:rPr>
        <w:t>Centralised procurement of above R30 000 but not exceeding R500 000 to leverage on economics of scale.</w:t>
      </w:r>
    </w:p>
    <w:p w:rsidR="00F647CE" w:rsidRPr="00AC2CA6" w:rsidRDefault="00F647CE" w:rsidP="00F647CE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AC2CA6">
        <w:rPr>
          <w:szCs w:val="24"/>
        </w:rPr>
        <w:t>Trained all supply chain practitioners, both at Head Office and missions abroad.</w:t>
      </w:r>
    </w:p>
    <w:p w:rsidR="00F647CE" w:rsidRPr="00AC2CA6" w:rsidRDefault="00F647CE" w:rsidP="00F647CE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AC2CA6">
        <w:rPr>
          <w:szCs w:val="24"/>
        </w:rPr>
        <w:t>Trained all end-user officials involved with procurement of goods and services.</w:t>
      </w:r>
    </w:p>
    <w:p w:rsidR="00F647CE" w:rsidRPr="00AC2CA6" w:rsidRDefault="00F647CE" w:rsidP="00F647CE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szCs w:val="24"/>
        </w:rPr>
      </w:pPr>
      <w:r w:rsidRPr="00AC2CA6">
        <w:rPr>
          <w:szCs w:val="24"/>
        </w:rPr>
        <w:t xml:space="preserve">Signed a declaration of interest, including the code of conduct as well as Financial Misconduct Policy.  </w:t>
      </w:r>
    </w:p>
    <w:p w:rsidR="00F647CE" w:rsidRPr="00AC2CA6" w:rsidRDefault="00F647CE" w:rsidP="00F647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snapToGrid w:val="0"/>
          <w:szCs w:val="24"/>
        </w:rPr>
      </w:pPr>
    </w:p>
    <w:p w:rsidR="00F647CE" w:rsidRPr="00AC2CA6" w:rsidRDefault="00F647CE" w:rsidP="00F647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snapToGrid w:val="0"/>
          <w:szCs w:val="24"/>
        </w:rPr>
      </w:pPr>
      <w:r w:rsidRPr="00AC2CA6">
        <w:rPr>
          <w:snapToGrid w:val="0"/>
          <w:szCs w:val="24"/>
        </w:rPr>
        <w:t>Unquote.</w:t>
      </w:r>
    </w:p>
    <w:p w:rsidR="00321996" w:rsidRDefault="00321996">
      <w:bookmarkStart w:id="0" w:name="_GoBack"/>
      <w:bookmarkEnd w:id="0"/>
    </w:p>
    <w:sectPr w:rsidR="0032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3140"/>
    <w:multiLevelType w:val="hybridMultilevel"/>
    <w:tmpl w:val="2FAE9732"/>
    <w:lvl w:ilvl="0" w:tplc="664E1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50E"/>
    <w:multiLevelType w:val="hybridMultilevel"/>
    <w:tmpl w:val="8E48CEEC"/>
    <w:lvl w:ilvl="0" w:tplc="86A28A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5EC"/>
    <w:multiLevelType w:val="hybridMultilevel"/>
    <w:tmpl w:val="2C4CED56"/>
    <w:lvl w:ilvl="0" w:tplc="5D700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E"/>
    <w:rsid w:val="00321996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B6CE-9974-4CFA-A0E3-BB9A1D35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F647CE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647CE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7CE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F647CE"/>
    <w:rPr>
      <w:rFonts w:ascii="Times New Roman" w:eastAsia="Times New Roman" w:hAnsi="Times New Roman" w:cs="Times New Roman"/>
      <w:b/>
      <w:sz w:val="24"/>
      <w:szCs w:val="20"/>
      <w:lang w:eastAsia="en-ZA"/>
    </w:rPr>
  </w:style>
  <w:style w:type="paragraph" w:styleId="Header">
    <w:name w:val="header"/>
    <w:basedOn w:val="Normal"/>
    <w:link w:val="HeaderChar"/>
    <w:uiPriority w:val="99"/>
    <w:rsid w:val="00F6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CE"/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Maphopha, MI Mr : Office of the Minister, DIRCO</dc:creator>
  <cp:keywords/>
  <dc:description/>
  <cp:lastModifiedBy>Maphopha, MI Mr : Office of the Minister, DIRCO</cp:lastModifiedBy>
  <cp:revision>1</cp:revision>
  <dcterms:created xsi:type="dcterms:W3CDTF">2017-12-18T09:42:00Z</dcterms:created>
  <dcterms:modified xsi:type="dcterms:W3CDTF">2017-12-18T09:43:00Z</dcterms:modified>
</cp:coreProperties>
</file>