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37986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5F4728" w:rsidRDefault="00D26F9E" w:rsidP="00D26F9E">
      <w:pPr>
        <w:rPr>
          <w:b/>
          <w:bCs/>
          <w:sz w:val="24"/>
          <w:szCs w:val="24"/>
        </w:rPr>
      </w:pPr>
    </w:p>
    <w:p w:rsidR="00D26F9E" w:rsidRPr="00532188" w:rsidRDefault="00D26F9E" w:rsidP="00532188">
      <w:pPr>
        <w:spacing w:line="360" w:lineRule="auto"/>
        <w:rPr>
          <w:b/>
          <w:sz w:val="24"/>
          <w:szCs w:val="24"/>
        </w:rPr>
      </w:pPr>
      <w:r w:rsidRPr="00532188">
        <w:rPr>
          <w:b/>
          <w:sz w:val="24"/>
          <w:szCs w:val="24"/>
        </w:rPr>
        <w:t>NATIONAL ASSEMBLY</w:t>
      </w:r>
    </w:p>
    <w:p w:rsidR="00D26F9E" w:rsidRPr="00532188" w:rsidRDefault="00D26F9E" w:rsidP="00532188">
      <w:pPr>
        <w:spacing w:line="360" w:lineRule="auto"/>
        <w:rPr>
          <w:b/>
          <w:sz w:val="24"/>
          <w:szCs w:val="24"/>
        </w:rPr>
      </w:pPr>
      <w:r w:rsidRPr="00532188">
        <w:rPr>
          <w:b/>
          <w:sz w:val="24"/>
          <w:szCs w:val="24"/>
        </w:rPr>
        <w:t xml:space="preserve">QUESTION FOR </w:t>
      </w:r>
      <w:r w:rsidR="00526E7D" w:rsidRPr="00532188">
        <w:rPr>
          <w:b/>
          <w:sz w:val="24"/>
          <w:szCs w:val="24"/>
        </w:rPr>
        <w:t xml:space="preserve">WRITTEN </w:t>
      </w:r>
      <w:r w:rsidRPr="00532188">
        <w:rPr>
          <w:b/>
          <w:sz w:val="24"/>
          <w:szCs w:val="24"/>
        </w:rPr>
        <w:t>REPLY</w:t>
      </w:r>
    </w:p>
    <w:p w:rsidR="00D26F9E" w:rsidRPr="00532188" w:rsidRDefault="00D26F9E" w:rsidP="00532188">
      <w:pPr>
        <w:spacing w:line="360" w:lineRule="auto"/>
        <w:rPr>
          <w:b/>
          <w:sz w:val="24"/>
          <w:szCs w:val="24"/>
          <w:lang w:val="af-ZA"/>
        </w:rPr>
      </w:pPr>
      <w:r w:rsidRPr="00532188">
        <w:rPr>
          <w:b/>
          <w:sz w:val="24"/>
          <w:szCs w:val="24"/>
        </w:rPr>
        <w:t>QUESTION NO.:</w:t>
      </w:r>
      <w:r w:rsidR="009F5B5D" w:rsidRPr="00532188">
        <w:rPr>
          <w:b/>
          <w:sz w:val="24"/>
          <w:szCs w:val="24"/>
          <w:lang w:val="af-ZA"/>
        </w:rPr>
        <w:t xml:space="preserve"> </w:t>
      </w:r>
      <w:r w:rsidR="00183333" w:rsidRPr="00532188">
        <w:rPr>
          <w:b/>
          <w:sz w:val="24"/>
          <w:szCs w:val="24"/>
          <w:lang w:val="af-ZA"/>
        </w:rPr>
        <w:t>370</w:t>
      </w:r>
    </w:p>
    <w:p w:rsidR="00D26F9E" w:rsidRPr="00532188" w:rsidRDefault="00D26F9E" w:rsidP="00532188">
      <w:pPr>
        <w:spacing w:line="360" w:lineRule="auto"/>
        <w:rPr>
          <w:b/>
          <w:sz w:val="24"/>
          <w:szCs w:val="24"/>
        </w:rPr>
      </w:pPr>
      <w:r w:rsidRPr="00532188">
        <w:rPr>
          <w:b/>
          <w:sz w:val="24"/>
          <w:szCs w:val="24"/>
        </w:rPr>
        <w:t xml:space="preserve">DATE OF PUBLICATION: </w:t>
      </w:r>
      <w:r w:rsidR="00526E7D" w:rsidRPr="00532188">
        <w:rPr>
          <w:b/>
          <w:sz w:val="24"/>
          <w:szCs w:val="24"/>
        </w:rPr>
        <w:t>1</w:t>
      </w:r>
      <w:r w:rsidR="00063111" w:rsidRPr="00532188">
        <w:rPr>
          <w:b/>
          <w:sz w:val="24"/>
          <w:szCs w:val="24"/>
        </w:rPr>
        <w:t>9</w:t>
      </w:r>
      <w:r w:rsidR="00526E7D" w:rsidRPr="00532188">
        <w:rPr>
          <w:b/>
          <w:sz w:val="24"/>
          <w:szCs w:val="24"/>
        </w:rPr>
        <w:t xml:space="preserve"> FEBRUARY 2</w:t>
      </w:r>
      <w:r w:rsidR="00A830EA" w:rsidRPr="00532188">
        <w:rPr>
          <w:b/>
          <w:sz w:val="24"/>
          <w:szCs w:val="24"/>
        </w:rPr>
        <w:t>01</w:t>
      </w:r>
      <w:r w:rsidR="003F5497" w:rsidRPr="00532188">
        <w:rPr>
          <w:b/>
          <w:sz w:val="24"/>
          <w:szCs w:val="24"/>
        </w:rPr>
        <w:t>6</w:t>
      </w:r>
    </w:p>
    <w:p w:rsidR="00532188" w:rsidRPr="00532188" w:rsidRDefault="00532188" w:rsidP="002304F2">
      <w:pPr>
        <w:spacing w:line="276" w:lineRule="auto"/>
        <w:rPr>
          <w:b/>
          <w:sz w:val="24"/>
          <w:szCs w:val="24"/>
        </w:rPr>
      </w:pPr>
    </w:p>
    <w:p w:rsidR="00183333" w:rsidRPr="00532188" w:rsidRDefault="00183333" w:rsidP="002304F2">
      <w:pPr>
        <w:spacing w:before="100" w:beforeAutospacing="1" w:after="100" w:afterAutospacing="1" w:line="276" w:lineRule="auto"/>
        <w:ind w:left="709" w:hanging="720"/>
        <w:jc w:val="both"/>
        <w:outlineLvl w:val="0"/>
        <w:rPr>
          <w:b/>
          <w:sz w:val="24"/>
          <w:szCs w:val="24"/>
          <w:lang w:val="en-ZA"/>
        </w:rPr>
      </w:pPr>
      <w:r w:rsidRPr="00532188">
        <w:rPr>
          <w:b/>
          <w:sz w:val="24"/>
          <w:szCs w:val="24"/>
          <w:lang w:val="en-ZA"/>
        </w:rPr>
        <w:t>Ms J Edwards (DA) to ask the Minister of Human Settlements:</w:t>
      </w:r>
    </w:p>
    <w:p w:rsidR="00F363E4" w:rsidRPr="00532188" w:rsidRDefault="00183333" w:rsidP="00C90F5D">
      <w:pPr>
        <w:pStyle w:val="BodyTextIndent2"/>
        <w:tabs>
          <w:tab w:val="left" w:pos="720"/>
        </w:tabs>
        <w:spacing w:before="100" w:beforeAutospacing="1" w:after="100" w:afterAutospacing="1" w:line="360" w:lineRule="auto"/>
        <w:ind w:left="0"/>
        <w:jc w:val="both"/>
        <w:rPr>
          <w:rFonts w:ascii="Times New Roman" w:hAnsi="Times New Roman" w:cs="Times New Roman"/>
          <w:szCs w:val="24"/>
        </w:rPr>
      </w:pPr>
      <w:r w:rsidRPr="00532188">
        <w:rPr>
          <w:rFonts w:ascii="Times New Roman" w:hAnsi="Times New Roman" w:cs="Times New Roman"/>
          <w:szCs w:val="24"/>
        </w:rPr>
        <w:t xml:space="preserve">With reference to President Jacob G Zuma’s undertaking in his State of the Nation Address delivered on 12 February 2015, that the </w:t>
      </w:r>
      <w:r w:rsidRPr="00532188">
        <w:rPr>
          <w:rFonts w:ascii="Times New Roman" w:hAnsi="Times New Roman" w:cs="Times New Roman"/>
          <w:color w:val="252525"/>
          <w:szCs w:val="24"/>
          <w:lang w:eastAsia="en-ZA"/>
        </w:rPr>
        <w:t xml:space="preserve">Government will set </w:t>
      </w:r>
      <w:r w:rsidRPr="00532188">
        <w:rPr>
          <w:rFonts w:ascii="Times New Roman" w:hAnsi="Times New Roman" w:cs="Times New Roman"/>
          <w:szCs w:val="24"/>
        </w:rPr>
        <w:t>aside</w:t>
      </w:r>
      <w:r w:rsidRPr="00532188">
        <w:rPr>
          <w:rFonts w:ascii="Times New Roman" w:hAnsi="Times New Roman" w:cs="Times New Roman"/>
          <w:color w:val="252525"/>
          <w:szCs w:val="24"/>
          <w:lang w:eastAsia="en-ZA"/>
        </w:rPr>
        <w:t xml:space="preserve"> 30% of appropriate categories of state procurement for purchasing from Small, Medium and Micro-sized Enterprises (SMMEs), co-operatives, as well as township and rural enterprises, </w:t>
      </w:r>
      <w:r w:rsidRPr="00532188">
        <w:rPr>
          <w:rFonts w:ascii="Times New Roman" w:hAnsi="Times New Roman" w:cs="Times New Roman"/>
          <w:szCs w:val="24"/>
        </w:rPr>
        <w:t>what percentage of the total procurement of (a) her department and (b) every entity reporting to her went to (i) SMMEs and (ii) co-operatives from 1 April 2015 up to the latest specified date for which information is available?</w:t>
      </w:r>
      <w:r w:rsidRPr="00532188">
        <w:rPr>
          <w:rFonts w:ascii="Times New Roman" w:hAnsi="Times New Roman" w:cs="Times New Roman"/>
          <w:szCs w:val="24"/>
        </w:rPr>
        <w:tab/>
      </w:r>
      <w:r w:rsidRPr="00532188">
        <w:rPr>
          <w:rFonts w:ascii="Times New Roman" w:hAnsi="Times New Roman" w:cs="Times New Roman"/>
          <w:szCs w:val="24"/>
        </w:rPr>
        <w:tab/>
      </w:r>
      <w:r w:rsidRPr="00532188">
        <w:rPr>
          <w:rFonts w:ascii="Times New Roman" w:hAnsi="Times New Roman" w:cs="Times New Roman"/>
          <w:szCs w:val="24"/>
        </w:rPr>
        <w:tab/>
      </w:r>
      <w:r w:rsidRPr="00532188">
        <w:rPr>
          <w:rFonts w:ascii="Times New Roman" w:hAnsi="Times New Roman" w:cs="Times New Roman"/>
          <w:szCs w:val="24"/>
        </w:rPr>
        <w:tab/>
        <w:t xml:space="preserve">         </w:t>
      </w:r>
      <w:r w:rsidRPr="00532188">
        <w:rPr>
          <w:rFonts w:ascii="Times New Roman" w:hAnsi="Times New Roman" w:cs="Times New Roman"/>
          <w:sz w:val="20"/>
        </w:rPr>
        <w:t xml:space="preserve"> </w:t>
      </w:r>
      <w:r w:rsidR="00532188">
        <w:rPr>
          <w:rFonts w:ascii="Times New Roman" w:hAnsi="Times New Roman" w:cs="Times New Roman"/>
          <w:sz w:val="20"/>
        </w:rPr>
        <w:tab/>
        <w:t xml:space="preserve">         </w:t>
      </w:r>
      <w:r w:rsidRPr="00532188">
        <w:rPr>
          <w:rFonts w:ascii="Times New Roman" w:hAnsi="Times New Roman" w:cs="Times New Roman"/>
          <w:b/>
          <w:sz w:val="20"/>
        </w:rPr>
        <w:t>NW382E</w:t>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895D3F" w:rsidRPr="00532188">
        <w:rPr>
          <w:rFonts w:ascii="Times New Roman" w:hAnsi="Times New Roman" w:cs="Times New Roman"/>
          <w:szCs w:val="24"/>
        </w:rPr>
        <w:tab/>
      </w:r>
      <w:r w:rsidR="00F363E4" w:rsidRPr="00532188">
        <w:rPr>
          <w:rFonts w:ascii="Times New Roman" w:hAnsi="Times New Roman" w:cs="Times New Roman"/>
          <w:szCs w:val="24"/>
        </w:rPr>
        <w:t xml:space="preserve">         </w:t>
      </w:r>
    </w:p>
    <w:p w:rsidR="00766CE9" w:rsidRPr="00532188" w:rsidRDefault="00EB6AA1" w:rsidP="008B7FE1">
      <w:pPr>
        <w:spacing w:line="360" w:lineRule="auto"/>
        <w:ind w:left="720" w:hanging="720"/>
        <w:jc w:val="both"/>
        <w:rPr>
          <w:b/>
          <w:sz w:val="24"/>
          <w:szCs w:val="24"/>
        </w:rPr>
      </w:pPr>
      <w:r w:rsidRPr="00532188">
        <w:rPr>
          <w:b/>
          <w:sz w:val="24"/>
          <w:szCs w:val="24"/>
        </w:rPr>
        <w:t>REPLY:</w:t>
      </w:r>
    </w:p>
    <w:p w:rsidR="00C90F5D" w:rsidRPr="00AA029C" w:rsidRDefault="00C90F5D" w:rsidP="008B7FE1">
      <w:pPr>
        <w:spacing w:line="360" w:lineRule="auto"/>
        <w:rPr>
          <w:sz w:val="24"/>
          <w:szCs w:val="24"/>
          <w:lang w:val="en-ZA" w:eastAsia="en-ZA"/>
        </w:rPr>
      </w:pPr>
    </w:p>
    <w:p w:rsidR="00AA029C" w:rsidRPr="00AA029C" w:rsidRDefault="00AA029C" w:rsidP="00AA029C">
      <w:pPr>
        <w:tabs>
          <w:tab w:val="right" w:leader="dot" w:pos="8789"/>
        </w:tabs>
        <w:spacing w:line="360" w:lineRule="auto"/>
        <w:ind w:right="571"/>
        <w:jc w:val="both"/>
        <w:rPr>
          <w:color w:val="000000"/>
          <w:sz w:val="24"/>
          <w:szCs w:val="24"/>
          <w:lang w:val="en-ZA" w:eastAsia="en-ZA"/>
        </w:rPr>
      </w:pPr>
      <w:r w:rsidRPr="00AA029C">
        <w:rPr>
          <w:color w:val="000000"/>
          <w:sz w:val="24"/>
          <w:szCs w:val="24"/>
          <w:lang w:val="en-ZA" w:eastAsia="en-ZA"/>
        </w:rPr>
        <w:t xml:space="preserve">(a) The total percentage </w:t>
      </w:r>
      <w:r>
        <w:rPr>
          <w:color w:val="000000"/>
          <w:sz w:val="24"/>
          <w:szCs w:val="24"/>
          <w:lang w:val="en-ZA" w:eastAsia="en-ZA"/>
        </w:rPr>
        <w:t xml:space="preserve">spent by </w:t>
      </w:r>
      <w:r w:rsidRPr="00AA029C">
        <w:rPr>
          <w:color w:val="000000"/>
          <w:sz w:val="24"/>
          <w:szCs w:val="24"/>
          <w:lang w:val="en-ZA" w:eastAsia="en-ZA"/>
        </w:rPr>
        <w:t xml:space="preserve">the National Department of Human Settlements for </w:t>
      </w:r>
      <w:r>
        <w:rPr>
          <w:color w:val="000000"/>
          <w:sz w:val="24"/>
          <w:szCs w:val="24"/>
          <w:lang w:val="en-ZA" w:eastAsia="en-ZA"/>
        </w:rPr>
        <w:t xml:space="preserve">procurement from </w:t>
      </w:r>
      <w:r w:rsidRPr="00AA029C">
        <w:rPr>
          <w:color w:val="000000"/>
          <w:sz w:val="24"/>
          <w:szCs w:val="24"/>
          <w:lang w:val="en-ZA" w:eastAsia="en-ZA"/>
        </w:rPr>
        <w:t>Small, Medium and Micro-sized Enterprises (SMMEs) for the period 01 April 2015 to 31 March 2016 is 32%.</w:t>
      </w:r>
      <w:r w:rsidR="00D170E5">
        <w:rPr>
          <w:color w:val="000000"/>
          <w:sz w:val="24"/>
          <w:szCs w:val="24"/>
          <w:lang w:val="en-ZA" w:eastAsia="en-ZA"/>
        </w:rPr>
        <w:t xml:space="preserve"> </w:t>
      </w:r>
    </w:p>
    <w:p w:rsidR="00AA029C" w:rsidRPr="00AA029C" w:rsidRDefault="00AA029C" w:rsidP="00AA029C">
      <w:pPr>
        <w:tabs>
          <w:tab w:val="right" w:leader="dot" w:pos="8789"/>
        </w:tabs>
        <w:spacing w:line="360" w:lineRule="auto"/>
        <w:ind w:right="571"/>
        <w:jc w:val="both"/>
        <w:rPr>
          <w:color w:val="000000"/>
          <w:sz w:val="24"/>
          <w:szCs w:val="24"/>
          <w:lang w:val="en-ZA" w:eastAsia="en-ZA"/>
        </w:rPr>
      </w:pPr>
    </w:p>
    <w:p w:rsidR="00AA029C" w:rsidRPr="00AA029C" w:rsidRDefault="00AA029C" w:rsidP="00AA029C">
      <w:pPr>
        <w:tabs>
          <w:tab w:val="right" w:leader="dot" w:pos="8789"/>
        </w:tabs>
        <w:spacing w:line="360" w:lineRule="auto"/>
        <w:ind w:right="571"/>
        <w:jc w:val="both"/>
        <w:rPr>
          <w:color w:val="000000"/>
          <w:sz w:val="24"/>
          <w:szCs w:val="24"/>
          <w:lang w:val="en-ZA" w:eastAsia="en-ZA"/>
        </w:rPr>
      </w:pPr>
      <w:r w:rsidRPr="00AA029C">
        <w:rPr>
          <w:color w:val="000000"/>
          <w:sz w:val="24"/>
          <w:szCs w:val="24"/>
          <w:lang w:val="en-ZA" w:eastAsia="en-ZA"/>
        </w:rPr>
        <w:t>(b) (</w:t>
      </w:r>
      <w:proofErr w:type="gramStart"/>
      <w:r w:rsidRPr="00AA029C">
        <w:rPr>
          <w:color w:val="000000"/>
          <w:sz w:val="24"/>
          <w:szCs w:val="24"/>
          <w:lang w:val="en-ZA" w:eastAsia="en-ZA"/>
        </w:rPr>
        <w:t>i</w:t>
      </w:r>
      <w:proofErr w:type="gramEnd"/>
      <w:r w:rsidRPr="00AA029C">
        <w:rPr>
          <w:color w:val="000000"/>
          <w:sz w:val="24"/>
          <w:szCs w:val="24"/>
          <w:lang w:val="en-ZA" w:eastAsia="en-ZA"/>
        </w:rPr>
        <w:t xml:space="preserve">) The information related to Entities on Small, Medium and Micro-sized Enterprises is as per the table below: </w:t>
      </w:r>
    </w:p>
    <w:p w:rsidR="00AA029C" w:rsidRPr="00AA029C" w:rsidRDefault="00AA029C" w:rsidP="00AA029C">
      <w:pPr>
        <w:tabs>
          <w:tab w:val="right" w:leader="dot" w:pos="8789"/>
        </w:tabs>
        <w:spacing w:line="360" w:lineRule="auto"/>
        <w:ind w:right="571"/>
        <w:jc w:val="both"/>
        <w:rPr>
          <w:sz w:val="24"/>
          <w:szCs w:val="24"/>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590"/>
      </w:tblGrid>
      <w:tr w:rsidR="00AA029C" w:rsidRPr="00AA029C" w:rsidTr="00AA029C">
        <w:trPr>
          <w:tblHeader/>
        </w:trPr>
        <w:tc>
          <w:tcPr>
            <w:tcW w:w="4860" w:type="dxa"/>
            <w:shd w:val="clear" w:color="auto" w:fill="D9D9D9"/>
          </w:tcPr>
          <w:p w:rsidR="00AA029C" w:rsidRPr="00AA029C" w:rsidRDefault="00AA029C" w:rsidP="008D590C">
            <w:pPr>
              <w:spacing w:line="360" w:lineRule="auto"/>
              <w:rPr>
                <w:rFonts w:eastAsia="Calibri"/>
                <w:b/>
                <w:sz w:val="24"/>
                <w:szCs w:val="24"/>
                <w:lang w:val="en-ZA"/>
              </w:rPr>
            </w:pPr>
            <w:r w:rsidRPr="00AA029C">
              <w:rPr>
                <w:rFonts w:eastAsia="Calibri"/>
                <w:b/>
                <w:sz w:val="24"/>
                <w:szCs w:val="24"/>
                <w:lang w:val="en-ZA"/>
              </w:rPr>
              <w:t>Entities</w:t>
            </w:r>
          </w:p>
        </w:tc>
        <w:tc>
          <w:tcPr>
            <w:tcW w:w="4590" w:type="dxa"/>
            <w:shd w:val="clear" w:color="auto" w:fill="D9D9D9"/>
          </w:tcPr>
          <w:p w:rsidR="00AA029C" w:rsidRPr="00AA029C" w:rsidRDefault="00AA029C" w:rsidP="008D590C">
            <w:pPr>
              <w:spacing w:line="360" w:lineRule="auto"/>
              <w:jc w:val="right"/>
              <w:rPr>
                <w:rFonts w:eastAsia="Calibri"/>
                <w:b/>
                <w:sz w:val="24"/>
                <w:szCs w:val="24"/>
                <w:lang w:val="en-ZA"/>
              </w:rPr>
            </w:pPr>
            <w:r w:rsidRPr="00AA029C">
              <w:rPr>
                <w:b/>
                <w:bCs/>
                <w:color w:val="000000"/>
                <w:sz w:val="24"/>
                <w:szCs w:val="24"/>
                <w:lang w:val="en-US"/>
              </w:rPr>
              <w:t xml:space="preserve"> % Spent on SMME's</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HDA</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30.41%</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NHBRC</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45%</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NHFC</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45%</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RHLF</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35.35%</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lastRenderedPageBreak/>
              <w:t>NURCHA</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15.81%</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EAAB</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49%</w:t>
            </w:r>
          </w:p>
        </w:tc>
      </w:tr>
      <w:tr w:rsidR="00AA029C" w:rsidRPr="00AA029C" w:rsidTr="00AA029C">
        <w:tc>
          <w:tcPr>
            <w:tcW w:w="4860" w:type="dxa"/>
            <w:shd w:val="clear" w:color="auto" w:fill="auto"/>
          </w:tcPr>
          <w:p w:rsidR="00AA029C" w:rsidRPr="00AA029C" w:rsidRDefault="00AA029C" w:rsidP="008D590C">
            <w:pPr>
              <w:spacing w:line="360" w:lineRule="auto"/>
              <w:rPr>
                <w:rFonts w:eastAsia="Calibri"/>
                <w:sz w:val="24"/>
                <w:szCs w:val="24"/>
                <w:lang w:val="en-ZA"/>
              </w:rPr>
            </w:pPr>
            <w:r w:rsidRPr="00AA029C">
              <w:rPr>
                <w:rFonts w:eastAsia="Calibri"/>
                <w:sz w:val="24"/>
                <w:szCs w:val="24"/>
                <w:lang w:val="en-ZA"/>
              </w:rPr>
              <w:t>CSOS</w:t>
            </w:r>
          </w:p>
        </w:tc>
        <w:tc>
          <w:tcPr>
            <w:tcW w:w="4590" w:type="dxa"/>
            <w:shd w:val="clear" w:color="auto" w:fill="auto"/>
          </w:tcPr>
          <w:p w:rsidR="00AA029C" w:rsidRPr="00AA029C" w:rsidRDefault="00AA029C" w:rsidP="008D590C">
            <w:pPr>
              <w:spacing w:line="360" w:lineRule="auto"/>
              <w:jc w:val="right"/>
              <w:rPr>
                <w:rFonts w:eastAsia="Calibri"/>
                <w:sz w:val="24"/>
                <w:szCs w:val="24"/>
                <w:lang w:val="en-ZA"/>
              </w:rPr>
            </w:pPr>
            <w:r w:rsidRPr="00AA029C">
              <w:rPr>
                <w:rFonts w:eastAsia="Calibri"/>
                <w:sz w:val="24"/>
                <w:szCs w:val="24"/>
                <w:lang w:val="en-ZA"/>
              </w:rPr>
              <w:t>45%</w:t>
            </w:r>
          </w:p>
        </w:tc>
      </w:tr>
    </w:tbl>
    <w:p w:rsidR="00AA029C" w:rsidRPr="00AA029C" w:rsidRDefault="00AA029C" w:rsidP="00AA029C">
      <w:pPr>
        <w:tabs>
          <w:tab w:val="right" w:leader="dot" w:pos="8789"/>
        </w:tabs>
        <w:spacing w:line="360" w:lineRule="auto"/>
        <w:ind w:right="571"/>
        <w:jc w:val="both"/>
        <w:rPr>
          <w:color w:val="000000"/>
          <w:sz w:val="24"/>
          <w:szCs w:val="24"/>
          <w:lang w:val="en-ZA" w:eastAsia="en-ZA"/>
        </w:rPr>
      </w:pPr>
    </w:p>
    <w:p w:rsidR="00AA029C" w:rsidRPr="00AA029C" w:rsidRDefault="00AA029C" w:rsidP="00AA029C">
      <w:pPr>
        <w:tabs>
          <w:tab w:val="right" w:leader="dot" w:pos="8789"/>
        </w:tabs>
        <w:spacing w:line="360" w:lineRule="auto"/>
        <w:ind w:right="571"/>
        <w:jc w:val="both"/>
        <w:rPr>
          <w:color w:val="000000"/>
          <w:sz w:val="24"/>
          <w:szCs w:val="24"/>
          <w:lang w:val="en-ZA" w:eastAsia="en-ZA"/>
        </w:rPr>
      </w:pPr>
    </w:p>
    <w:p w:rsidR="00AA029C" w:rsidRPr="00AA029C" w:rsidRDefault="00AA029C" w:rsidP="00AA029C">
      <w:pPr>
        <w:tabs>
          <w:tab w:val="right" w:leader="dot" w:pos="8789"/>
        </w:tabs>
        <w:spacing w:line="360" w:lineRule="auto"/>
        <w:ind w:right="571"/>
        <w:jc w:val="both"/>
        <w:rPr>
          <w:color w:val="000000"/>
          <w:sz w:val="24"/>
          <w:szCs w:val="24"/>
          <w:lang w:val="en-ZA" w:eastAsia="en-ZA"/>
        </w:rPr>
      </w:pPr>
      <w:r w:rsidRPr="00AA029C">
        <w:rPr>
          <w:color w:val="000000"/>
          <w:sz w:val="24"/>
          <w:szCs w:val="24"/>
          <w:lang w:val="en-ZA" w:eastAsia="en-ZA"/>
        </w:rPr>
        <w:t>Provinces</w:t>
      </w:r>
    </w:p>
    <w:p w:rsidR="00AA029C" w:rsidRPr="00AA029C" w:rsidRDefault="00AA029C" w:rsidP="00AA029C">
      <w:pPr>
        <w:tabs>
          <w:tab w:val="right" w:leader="dot" w:pos="8789"/>
        </w:tabs>
        <w:spacing w:line="360" w:lineRule="auto"/>
        <w:ind w:right="571"/>
        <w:jc w:val="both"/>
        <w:rPr>
          <w:color w:val="000000"/>
          <w:sz w:val="24"/>
          <w:szCs w:val="24"/>
          <w:lang w:val="en-ZA" w:eastAsia="en-ZA"/>
        </w:rPr>
      </w:pPr>
      <w:r w:rsidRPr="00AA029C">
        <w:rPr>
          <w:color w:val="000000"/>
          <w:sz w:val="24"/>
          <w:szCs w:val="24"/>
          <w:lang w:val="en-ZA" w:eastAsia="en-ZA"/>
        </w:rPr>
        <w:t>The Provinces are spending on average 66 % of the Human Settlements Development Grant on Small, Medium and M</w:t>
      </w:r>
      <w:r w:rsidR="00FE0AFD">
        <w:rPr>
          <w:color w:val="000000"/>
          <w:sz w:val="24"/>
          <w:szCs w:val="24"/>
          <w:lang w:val="en-ZA" w:eastAsia="en-ZA"/>
        </w:rPr>
        <w:t>icro-sized Enterprises (SMME’s) of total procurement for the 2015/16 financial year ending 31 March 2016.</w:t>
      </w:r>
      <w:r w:rsidRPr="00AA029C">
        <w:rPr>
          <w:color w:val="000000"/>
          <w:sz w:val="24"/>
          <w:szCs w:val="24"/>
          <w:lang w:val="en-ZA" w:eastAsia="en-ZA"/>
        </w:rPr>
        <w:t>Limpopo and Free State have spent more than 90% whilst Western Cape and Gauteng are spending the lowest at 46% and 32% respectively to their Small, Medium and Micro-sized Enterprises.</w:t>
      </w:r>
      <w:r w:rsidR="00D170E5" w:rsidRPr="00D170E5">
        <w:rPr>
          <w:rFonts w:ascii="Segoe UI" w:hAnsi="Segoe UI" w:cs="Segoe UI"/>
        </w:rPr>
        <w:t xml:space="preserve"> </w:t>
      </w:r>
    </w:p>
    <w:tbl>
      <w:tblPr>
        <w:tblW w:w="9465" w:type="dxa"/>
        <w:tblInd w:w="93" w:type="dxa"/>
        <w:tblLook w:val="04A0"/>
      </w:tblPr>
      <w:tblGrid>
        <w:gridCol w:w="5145"/>
        <w:gridCol w:w="4320"/>
      </w:tblGrid>
      <w:tr w:rsidR="00AA029C" w:rsidRPr="00AA029C" w:rsidTr="00AA029C">
        <w:trPr>
          <w:trHeight w:val="315"/>
        </w:trPr>
        <w:tc>
          <w:tcPr>
            <w:tcW w:w="514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A029C" w:rsidRPr="00AA029C" w:rsidRDefault="00AA029C" w:rsidP="008D590C">
            <w:pPr>
              <w:spacing w:line="360" w:lineRule="auto"/>
              <w:rPr>
                <w:b/>
                <w:bCs/>
                <w:color w:val="000000"/>
                <w:sz w:val="24"/>
                <w:szCs w:val="24"/>
                <w:lang w:val="en-US"/>
              </w:rPr>
            </w:pPr>
            <w:r w:rsidRPr="00AA029C">
              <w:rPr>
                <w:b/>
                <w:bCs/>
                <w:color w:val="000000"/>
                <w:sz w:val="24"/>
                <w:szCs w:val="24"/>
                <w:lang w:val="en-US"/>
              </w:rPr>
              <w:t>Provinces</w:t>
            </w:r>
          </w:p>
        </w:tc>
        <w:tc>
          <w:tcPr>
            <w:tcW w:w="4320" w:type="dxa"/>
            <w:tcBorders>
              <w:top w:val="single" w:sz="4" w:space="0" w:color="auto"/>
              <w:left w:val="nil"/>
              <w:bottom w:val="single" w:sz="4" w:space="0" w:color="auto"/>
              <w:right w:val="single" w:sz="4" w:space="0" w:color="auto"/>
            </w:tcBorders>
            <w:shd w:val="clear" w:color="auto" w:fill="D9D9D9"/>
            <w:noWrap/>
            <w:vAlign w:val="bottom"/>
            <w:hideMark/>
          </w:tcPr>
          <w:p w:rsidR="00AA029C" w:rsidRPr="00AA029C" w:rsidRDefault="00AA029C" w:rsidP="008D590C">
            <w:pPr>
              <w:spacing w:line="360" w:lineRule="auto"/>
              <w:jc w:val="right"/>
              <w:rPr>
                <w:color w:val="000000"/>
                <w:sz w:val="24"/>
                <w:szCs w:val="24"/>
                <w:lang w:val="en-US"/>
              </w:rPr>
            </w:pPr>
            <w:r w:rsidRPr="00AA029C">
              <w:rPr>
                <w:b/>
                <w:bCs/>
                <w:color w:val="000000"/>
                <w:sz w:val="24"/>
                <w:szCs w:val="24"/>
                <w:lang w:val="en-US"/>
              </w:rPr>
              <w:t xml:space="preserve"> % Spent on SMME's</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Eastern Cape</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 -</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Free State</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90%</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Gauteng</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32%</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KwaZulu Natal</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55%</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Limpopo</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97%</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Mpumalanga</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63%</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Northern Cape</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70%</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rPr>
                <w:color w:val="000000"/>
                <w:sz w:val="24"/>
                <w:szCs w:val="24"/>
                <w:lang w:val="en-US"/>
              </w:rPr>
            </w:pPr>
            <w:r w:rsidRPr="00AA029C">
              <w:rPr>
                <w:color w:val="000000"/>
                <w:sz w:val="24"/>
                <w:szCs w:val="24"/>
                <w:lang w:val="en-US"/>
              </w:rPr>
              <w:t>North West</w:t>
            </w:r>
          </w:p>
        </w:tc>
        <w:tc>
          <w:tcPr>
            <w:tcW w:w="4320" w:type="dxa"/>
            <w:tcBorders>
              <w:top w:val="nil"/>
              <w:left w:val="nil"/>
              <w:bottom w:val="single" w:sz="4" w:space="0" w:color="auto"/>
              <w:right w:val="single" w:sz="4" w:space="0" w:color="auto"/>
            </w:tcBorders>
            <w:shd w:val="clear" w:color="auto" w:fill="auto"/>
            <w:noWrap/>
            <w:vAlign w:val="bottom"/>
            <w:hideMark/>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71%</w:t>
            </w:r>
          </w:p>
        </w:tc>
      </w:tr>
      <w:tr w:rsidR="00AA029C" w:rsidRPr="00AA029C" w:rsidTr="00AA029C">
        <w:trPr>
          <w:trHeight w:val="315"/>
        </w:trPr>
        <w:tc>
          <w:tcPr>
            <w:tcW w:w="5145" w:type="dxa"/>
            <w:tcBorders>
              <w:top w:val="nil"/>
              <w:left w:val="single" w:sz="4" w:space="0" w:color="auto"/>
              <w:bottom w:val="single" w:sz="4" w:space="0" w:color="auto"/>
              <w:right w:val="single" w:sz="4" w:space="0" w:color="auto"/>
            </w:tcBorders>
            <w:shd w:val="clear" w:color="auto" w:fill="auto"/>
            <w:noWrap/>
            <w:vAlign w:val="bottom"/>
          </w:tcPr>
          <w:p w:rsidR="00AA029C" w:rsidRPr="00AA029C" w:rsidRDefault="00AA029C" w:rsidP="008D590C">
            <w:pPr>
              <w:spacing w:line="360" w:lineRule="auto"/>
              <w:rPr>
                <w:color w:val="000000"/>
                <w:sz w:val="24"/>
                <w:szCs w:val="24"/>
                <w:lang w:val="en-US"/>
              </w:rPr>
            </w:pPr>
            <w:r w:rsidRPr="00AA029C">
              <w:rPr>
                <w:color w:val="000000"/>
                <w:sz w:val="24"/>
                <w:szCs w:val="24"/>
                <w:lang w:val="en-US"/>
              </w:rPr>
              <w:t>Western Cape</w:t>
            </w:r>
          </w:p>
        </w:tc>
        <w:tc>
          <w:tcPr>
            <w:tcW w:w="4320" w:type="dxa"/>
            <w:tcBorders>
              <w:top w:val="nil"/>
              <w:left w:val="nil"/>
              <w:bottom w:val="single" w:sz="4" w:space="0" w:color="auto"/>
              <w:right w:val="single" w:sz="4" w:space="0" w:color="auto"/>
            </w:tcBorders>
            <w:shd w:val="clear" w:color="auto" w:fill="auto"/>
            <w:noWrap/>
            <w:vAlign w:val="bottom"/>
          </w:tcPr>
          <w:p w:rsidR="00AA029C" w:rsidRPr="00AA029C" w:rsidRDefault="00AA029C" w:rsidP="008D590C">
            <w:pPr>
              <w:spacing w:line="360" w:lineRule="auto"/>
              <w:jc w:val="right"/>
              <w:rPr>
                <w:color w:val="000000"/>
                <w:sz w:val="24"/>
                <w:szCs w:val="24"/>
                <w:lang w:val="en-US"/>
              </w:rPr>
            </w:pPr>
            <w:r w:rsidRPr="00AA029C">
              <w:rPr>
                <w:color w:val="000000"/>
                <w:sz w:val="24"/>
                <w:szCs w:val="24"/>
                <w:lang w:val="en-US"/>
              </w:rPr>
              <w:t>46%</w:t>
            </w:r>
          </w:p>
        </w:tc>
      </w:tr>
    </w:tbl>
    <w:p w:rsidR="00AA029C" w:rsidRDefault="00D170E5" w:rsidP="00AA029C">
      <w:pPr>
        <w:tabs>
          <w:tab w:val="right" w:leader="dot" w:pos="8789"/>
        </w:tabs>
        <w:spacing w:line="360" w:lineRule="auto"/>
        <w:ind w:right="571"/>
        <w:jc w:val="both"/>
        <w:rPr>
          <w:b/>
          <w:sz w:val="22"/>
          <w:szCs w:val="22"/>
        </w:rPr>
      </w:pPr>
      <w:r w:rsidRPr="00D170E5">
        <w:rPr>
          <w:b/>
          <w:sz w:val="22"/>
          <w:szCs w:val="22"/>
        </w:rPr>
        <w:t>The percentages are 100% of the total procurement by provinces and it is as at 31/03/2016</w:t>
      </w:r>
    </w:p>
    <w:p w:rsidR="00D170E5" w:rsidRPr="00D170E5" w:rsidRDefault="00D170E5" w:rsidP="00AA029C">
      <w:pPr>
        <w:tabs>
          <w:tab w:val="right" w:leader="dot" w:pos="8789"/>
        </w:tabs>
        <w:spacing w:line="360" w:lineRule="auto"/>
        <w:ind w:right="571"/>
        <w:jc w:val="both"/>
        <w:rPr>
          <w:b/>
          <w:color w:val="000000"/>
          <w:sz w:val="22"/>
          <w:szCs w:val="22"/>
          <w:lang w:val="en-ZA" w:eastAsia="en-ZA"/>
        </w:rPr>
      </w:pPr>
    </w:p>
    <w:p w:rsidR="00AA029C" w:rsidRPr="00AA029C" w:rsidRDefault="00AA029C" w:rsidP="00AA029C">
      <w:pPr>
        <w:tabs>
          <w:tab w:val="left" w:pos="432"/>
          <w:tab w:val="left" w:pos="864"/>
        </w:tabs>
        <w:spacing w:before="100" w:beforeAutospacing="1" w:line="360" w:lineRule="auto"/>
        <w:rPr>
          <w:b/>
          <w:sz w:val="24"/>
          <w:szCs w:val="24"/>
        </w:rPr>
      </w:pPr>
      <w:r>
        <w:rPr>
          <w:b/>
          <w:sz w:val="24"/>
          <w:szCs w:val="24"/>
        </w:rPr>
        <w:t xml:space="preserve">(ii) </w:t>
      </w:r>
      <w:r w:rsidRPr="00AA029C">
        <w:rPr>
          <w:b/>
          <w:sz w:val="24"/>
          <w:szCs w:val="24"/>
        </w:rPr>
        <w:t xml:space="preserve">Cooperatives </w:t>
      </w:r>
    </w:p>
    <w:p w:rsidR="00AA029C" w:rsidRPr="00AA029C" w:rsidRDefault="00AA029C" w:rsidP="00AA029C">
      <w:pPr>
        <w:spacing w:line="360" w:lineRule="auto"/>
        <w:jc w:val="both"/>
        <w:rPr>
          <w:sz w:val="24"/>
          <w:szCs w:val="24"/>
        </w:rPr>
      </w:pPr>
      <w:r w:rsidRPr="00AA029C">
        <w:rPr>
          <w:sz w:val="24"/>
          <w:szCs w:val="24"/>
        </w:rPr>
        <w:t>The Department is promoting and supporting the establishment of Cooperatives within the human settlements delivery chain.  To this end, the Department (through People’s Housing Process Directorate) has partnered with the Department of Small Business Development (DSBD) and the following has been achieved:</w:t>
      </w:r>
    </w:p>
    <w:p w:rsidR="00AA029C" w:rsidRPr="00AA029C" w:rsidRDefault="00AA029C" w:rsidP="00AA029C">
      <w:pPr>
        <w:numPr>
          <w:ilvl w:val="0"/>
          <w:numId w:val="34"/>
        </w:numPr>
        <w:spacing w:line="360" w:lineRule="auto"/>
        <w:jc w:val="both"/>
        <w:rPr>
          <w:sz w:val="24"/>
          <w:szCs w:val="24"/>
        </w:rPr>
      </w:pPr>
      <w:r w:rsidRPr="00AA029C">
        <w:rPr>
          <w:sz w:val="24"/>
          <w:szCs w:val="24"/>
        </w:rPr>
        <w:t>Approximately 65 different Cooperatives have been established in six (6) Provinces, namely KZN, Gauteng, Free State, North West, Western Cape and the Eastern Cape</w:t>
      </w:r>
    </w:p>
    <w:p w:rsidR="00AA029C" w:rsidRPr="00AA029C" w:rsidRDefault="00AA029C" w:rsidP="00AA029C">
      <w:pPr>
        <w:numPr>
          <w:ilvl w:val="0"/>
          <w:numId w:val="34"/>
        </w:numPr>
        <w:spacing w:line="360" w:lineRule="auto"/>
        <w:jc w:val="both"/>
        <w:rPr>
          <w:sz w:val="24"/>
          <w:szCs w:val="24"/>
        </w:rPr>
      </w:pPr>
      <w:r w:rsidRPr="00AA029C">
        <w:rPr>
          <w:sz w:val="24"/>
          <w:szCs w:val="24"/>
        </w:rPr>
        <w:lastRenderedPageBreak/>
        <w:t xml:space="preserve">Housing or human settlements Cooperatives serves as a catalyst for the establishment of other Cooperatives. The housing Cooperatives ranges from Construction Cooperatives, brick-making, window/door frame making Cooperatives, carpentry, plumbing, transport, electricity, painting etc.   </w:t>
      </w:r>
    </w:p>
    <w:p w:rsidR="00AA029C" w:rsidRPr="00AA029C" w:rsidRDefault="00AA029C" w:rsidP="00AA029C">
      <w:pPr>
        <w:numPr>
          <w:ilvl w:val="0"/>
          <w:numId w:val="34"/>
        </w:numPr>
        <w:spacing w:line="360" w:lineRule="auto"/>
        <w:jc w:val="both"/>
        <w:rPr>
          <w:sz w:val="24"/>
          <w:szCs w:val="24"/>
        </w:rPr>
      </w:pPr>
      <w:r w:rsidRPr="00AA029C">
        <w:rPr>
          <w:sz w:val="24"/>
          <w:szCs w:val="24"/>
        </w:rPr>
        <w:t>Other livelihood Cooperatives formed will focus on agriculture, sewing, catering, poultry, shoe-making etc.</w:t>
      </w:r>
    </w:p>
    <w:p w:rsidR="00AA029C" w:rsidRPr="00AA029C" w:rsidRDefault="00AA029C" w:rsidP="00AA029C">
      <w:pPr>
        <w:numPr>
          <w:ilvl w:val="0"/>
          <w:numId w:val="34"/>
        </w:numPr>
        <w:spacing w:line="360" w:lineRule="auto"/>
        <w:jc w:val="both"/>
        <w:rPr>
          <w:sz w:val="24"/>
          <w:szCs w:val="24"/>
        </w:rPr>
      </w:pPr>
      <w:r w:rsidRPr="00AA029C">
        <w:rPr>
          <w:sz w:val="24"/>
          <w:szCs w:val="24"/>
        </w:rPr>
        <w:t>Most of these Cooperatives are led by Women and Youth and there is one Cooperative established in the Free State led by Disabled people</w:t>
      </w:r>
    </w:p>
    <w:p w:rsidR="00AA029C" w:rsidRPr="00AA029C" w:rsidRDefault="00AA029C" w:rsidP="00AA029C">
      <w:pPr>
        <w:numPr>
          <w:ilvl w:val="0"/>
          <w:numId w:val="34"/>
        </w:numPr>
        <w:spacing w:line="360" w:lineRule="auto"/>
        <w:jc w:val="both"/>
        <w:rPr>
          <w:sz w:val="24"/>
          <w:szCs w:val="24"/>
        </w:rPr>
      </w:pPr>
      <w:r w:rsidRPr="00AA029C">
        <w:rPr>
          <w:sz w:val="24"/>
          <w:szCs w:val="24"/>
        </w:rPr>
        <w:t>A Military Veterans Cooperative called Matrosov was also established in the Eastern Cape for the Chatty 491 project in Port Elizabeth</w:t>
      </w:r>
    </w:p>
    <w:p w:rsidR="00AA029C" w:rsidRPr="00AA029C" w:rsidRDefault="00AA029C" w:rsidP="00AA029C">
      <w:pPr>
        <w:numPr>
          <w:ilvl w:val="0"/>
          <w:numId w:val="34"/>
        </w:numPr>
        <w:spacing w:line="360" w:lineRule="auto"/>
        <w:jc w:val="both"/>
        <w:rPr>
          <w:sz w:val="24"/>
          <w:szCs w:val="24"/>
        </w:rPr>
      </w:pPr>
      <w:r w:rsidRPr="00AA029C">
        <w:rPr>
          <w:sz w:val="24"/>
          <w:szCs w:val="24"/>
        </w:rPr>
        <w:t xml:space="preserve">Delivered pre-formation and Cooperatives workshops in the six (6) Provinces </w:t>
      </w:r>
    </w:p>
    <w:p w:rsidR="00AA029C" w:rsidRPr="00AA029C" w:rsidRDefault="00AA029C" w:rsidP="00AA029C">
      <w:pPr>
        <w:numPr>
          <w:ilvl w:val="0"/>
          <w:numId w:val="34"/>
        </w:numPr>
        <w:spacing w:line="360" w:lineRule="auto"/>
        <w:jc w:val="both"/>
        <w:rPr>
          <w:sz w:val="24"/>
          <w:szCs w:val="24"/>
        </w:rPr>
      </w:pPr>
      <w:r w:rsidRPr="00AA029C">
        <w:rPr>
          <w:sz w:val="24"/>
          <w:szCs w:val="24"/>
        </w:rPr>
        <w:t xml:space="preserve"> Assessed the state of readiness for the Cooperatives Incentive Scheme (CIS) registration application for registered Cooperatives in KZN and Free State. The main objective of the CIS registration is to enable the Cooperatives to access grant funding from the DSBD as part of the start-up capital </w:t>
      </w:r>
    </w:p>
    <w:p w:rsidR="00AA029C" w:rsidRPr="00AA029C" w:rsidRDefault="00AA029C" w:rsidP="00AA029C">
      <w:pPr>
        <w:numPr>
          <w:ilvl w:val="0"/>
          <w:numId w:val="34"/>
        </w:numPr>
        <w:spacing w:line="360" w:lineRule="auto"/>
        <w:jc w:val="both"/>
        <w:rPr>
          <w:sz w:val="24"/>
          <w:szCs w:val="24"/>
        </w:rPr>
      </w:pPr>
      <w:r w:rsidRPr="00AA029C">
        <w:rPr>
          <w:sz w:val="24"/>
          <w:szCs w:val="24"/>
        </w:rPr>
        <w:t>In partnership with DSBD, delivered CIS workshop to the registered Cooperatives in the Free State who have now applied for the CIS Grant from DSBD</w:t>
      </w:r>
    </w:p>
    <w:p w:rsidR="00AA029C" w:rsidRPr="00AA029C" w:rsidRDefault="00AA029C" w:rsidP="00AA029C">
      <w:pPr>
        <w:numPr>
          <w:ilvl w:val="0"/>
          <w:numId w:val="34"/>
        </w:numPr>
        <w:spacing w:line="360" w:lineRule="auto"/>
        <w:jc w:val="both"/>
        <w:rPr>
          <w:sz w:val="24"/>
          <w:szCs w:val="24"/>
        </w:rPr>
      </w:pPr>
      <w:r w:rsidRPr="00AA029C">
        <w:rPr>
          <w:sz w:val="24"/>
          <w:szCs w:val="24"/>
        </w:rPr>
        <w:t xml:space="preserve">Through the partnership with DSBD, a project will be identified as a pilot under the new Cooperatives Incubator Programme led by DSBD </w:t>
      </w:r>
    </w:p>
    <w:p w:rsidR="00AA029C" w:rsidRPr="00AA029C" w:rsidRDefault="00AA029C" w:rsidP="00AA029C">
      <w:pPr>
        <w:numPr>
          <w:ilvl w:val="0"/>
          <w:numId w:val="34"/>
        </w:numPr>
        <w:spacing w:line="360" w:lineRule="auto"/>
        <w:jc w:val="both"/>
        <w:rPr>
          <w:sz w:val="24"/>
          <w:szCs w:val="24"/>
        </w:rPr>
      </w:pPr>
      <w:r w:rsidRPr="00AA029C">
        <w:rPr>
          <w:sz w:val="24"/>
          <w:szCs w:val="24"/>
        </w:rPr>
        <w:t>The Department will be sourcing Training and Skills development initiatives for the registered Cooperatives through NHBRC, SEDA and other similar institutions</w:t>
      </w:r>
    </w:p>
    <w:p w:rsidR="00AC6D4A" w:rsidRPr="00532188" w:rsidRDefault="00AC6D4A" w:rsidP="00D271FE">
      <w:pPr>
        <w:pStyle w:val="ListParagraph"/>
        <w:spacing w:line="360" w:lineRule="auto"/>
        <w:jc w:val="both"/>
        <w:rPr>
          <w:sz w:val="24"/>
          <w:szCs w:val="24"/>
        </w:rPr>
      </w:pPr>
    </w:p>
    <w:p w:rsidR="00AC6D4A" w:rsidRPr="00532188" w:rsidRDefault="00AC6D4A" w:rsidP="00C90F5D">
      <w:pPr>
        <w:tabs>
          <w:tab w:val="left" w:pos="432"/>
          <w:tab w:val="left" w:pos="864"/>
        </w:tabs>
        <w:spacing w:before="100" w:beforeAutospacing="1" w:line="360" w:lineRule="auto"/>
        <w:rPr>
          <w:sz w:val="24"/>
          <w:szCs w:val="24"/>
        </w:rPr>
      </w:pPr>
    </w:p>
    <w:p w:rsidR="002A3171" w:rsidRPr="00532188" w:rsidRDefault="002A3171" w:rsidP="00EB6AA1">
      <w:pPr>
        <w:spacing w:line="480" w:lineRule="auto"/>
        <w:ind w:left="720" w:hanging="720"/>
        <w:jc w:val="both"/>
        <w:rPr>
          <w:sz w:val="24"/>
          <w:szCs w:val="24"/>
        </w:rPr>
      </w:pPr>
    </w:p>
    <w:sectPr w:rsidR="002A3171" w:rsidRPr="00532188" w:rsidSect="005234F9">
      <w:headerReference w:type="default" r:id="rId9"/>
      <w:footerReference w:type="default" r:id="rId10"/>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B0" w:rsidRDefault="00D955B0" w:rsidP="00054FEC">
      <w:r>
        <w:separator/>
      </w:r>
    </w:p>
  </w:endnote>
  <w:endnote w:type="continuationSeparator" w:id="0">
    <w:p w:rsidR="00D955B0" w:rsidRDefault="00D955B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FE" w:rsidRDefault="00D271FE">
    <w:pPr>
      <w:pStyle w:val="Footer"/>
      <w:jc w:val="center"/>
    </w:pPr>
    <w:fldSimple w:instr=" PAGE   \* MERGEFORMAT ">
      <w:r w:rsidR="00594260">
        <w:rPr>
          <w:noProof/>
        </w:rPr>
        <w:t>1</w:t>
      </w:r>
    </w:fldSimple>
  </w:p>
  <w:p w:rsidR="00D271FE" w:rsidRDefault="00D27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B0" w:rsidRDefault="00D955B0" w:rsidP="00054FEC">
      <w:r>
        <w:separator/>
      </w:r>
    </w:p>
  </w:footnote>
  <w:footnote w:type="continuationSeparator" w:id="0">
    <w:p w:rsidR="00D955B0" w:rsidRDefault="00D955B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183333">
      <w:t>370</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3C2ED9"/>
    <w:multiLevelType w:val="hybridMultilevel"/>
    <w:tmpl w:val="78EED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071D9A"/>
    <w:multiLevelType w:val="hybridMultilevel"/>
    <w:tmpl w:val="9BAA3C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CAE2D7E"/>
    <w:multiLevelType w:val="hybridMultilevel"/>
    <w:tmpl w:val="DFA0B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0D7F64F2"/>
    <w:multiLevelType w:val="hybridMultilevel"/>
    <w:tmpl w:val="D08E51A0"/>
    <w:lvl w:ilvl="0" w:tplc="29B43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E0D2B"/>
    <w:multiLevelType w:val="hybridMultilevel"/>
    <w:tmpl w:val="92C40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801631"/>
    <w:multiLevelType w:val="hybridMultilevel"/>
    <w:tmpl w:val="980A5D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3B179B"/>
    <w:multiLevelType w:val="hybridMultilevel"/>
    <w:tmpl w:val="4F40AE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342E16EE"/>
    <w:multiLevelType w:val="hybridMultilevel"/>
    <w:tmpl w:val="BAF834B4"/>
    <w:lvl w:ilvl="0" w:tplc="7D129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9">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F05DF3"/>
    <w:multiLevelType w:val="hybridMultilevel"/>
    <w:tmpl w:val="6FAA3550"/>
    <w:lvl w:ilvl="0" w:tplc="587E3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6">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7">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8">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A080874"/>
    <w:multiLevelType w:val="hybridMultilevel"/>
    <w:tmpl w:val="FFF899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C717B81"/>
    <w:multiLevelType w:val="hybridMultilevel"/>
    <w:tmpl w:val="26445428"/>
    <w:lvl w:ilvl="0" w:tplc="B39AB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AA57013"/>
    <w:multiLevelType w:val="hybridMultilevel"/>
    <w:tmpl w:val="ACBAD0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1"/>
  </w:num>
  <w:num w:numId="2">
    <w:abstractNumId w:val="19"/>
  </w:num>
  <w:num w:numId="3">
    <w:abstractNumId w:val="8"/>
  </w:num>
  <w:num w:numId="4">
    <w:abstractNumId w:val="16"/>
  </w:num>
  <w:num w:numId="5">
    <w:abstractNumId w:val="23"/>
  </w:num>
  <w:num w:numId="6">
    <w:abstractNumId w:val="15"/>
  </w:num>
  <w:num w:numId="7">
    <w:abstractNumId w:val="12"/>
  </w:num>
  <w:num w:numId="8">
    <w:abstractNumId w:val="18"/>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4"/>
  </w:num>
  <w:num w:numId="14">
    <w:abstractNumId w:val="24"/>
  </w:num>
  <w:num w:numId="15">
    <w:abstractNumId w:val="2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0"/>
  </w:num>
  <w:num w:numId="20">
    <w:abstractNumId w:val="30"/>
  </w:num>
  <w:num w:numId="21">
    <w:abstractNumId w:val="17"/>
  </w:num>
  <w:num w:numId="22">
    <w:abstractNumId w:val="3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0"/>
  </w:num>
  <w:num w:numId="27">
    <w:abstractNumId w:val="6"/>
  </w:num>
  <w:num w:numId="28">
    <w:abstractNumId w:val="13"/>
  </w:num>
  <w:num w:numId="29">
    <w:abstractNumId w:val="31"/>
  </w:num>
  <w:num w:numId="30">
    <w:abstractNumId w:val="11"/>
  </w:num>
  <w:num w:numId="31">
    <w:abstractNumId w:val="10"/>
  </w:num>
  <w:num w:numId="32">
    <w:abstractNumId w:val="33"/>
  </w:num>
  <w:num w:numId="33">
    <w:abstractNumId w:val="9"/>
  </w:num>
  <w:num w:numId="34">
    <w:abstractNumId w:val="2"/>
  </w:num>
  <w:num w:numId="35">
    <w:abstractNumId w:val="29"/>
  </w:num>
  <w:num w:numId="36">
    <w:abstractNumId w:val="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63B0"/>
    <w:rsid w:val="0002305C"/>
    <w:rsid w:val="00042C5B"/>
    <w:rsid w:val="000542DB"/>
    <w:rsid w:val="00054FEC"/>
    <w:rsid w:val="0005651C"/>
    <w:rsid w:val="00061B5C"/>
    <w:rsid w:val="00063111"/>
    <w:rsid w:val="00084A46"/>
    <w:rsid w:val="00085A2A"/>
    <w:rsid w:val="000874C5"/>
    <w:rsid w:val="000B2098"/>
    <w:rsid w:val="000B4AC5"/>
    <w:rsid w:val="000C0B0E"/>
    <w:rsid w:val="000C37CD"/>
    <w:rsid w:val="000C4273"/>
    <w:rsid w:val="000D5E18"/>
    <w:rsid w:val="000E0847"/>
    <w:rsid w:val="000E238C"/>
    <w:rsid w:val="000E3FFE"/>
    <w:rsid w:val="000E7936"/>
    <w:rsid w:val="001005E9"/>
    <w:rsid w:val="00113198"/>
    <w:rsid w:val="0012375B"/>
    <w:rsid w:val="00131BFD"/>
    <w:rsid w:val="00134648"/>
    <w:rsid w:val="001355B6"/>
    <w:rsid w:val="00143801"/>
    <w:rsid w:val="00183267"/>
    <w:rsid w:val="00183333"/>
    <w:rsid w:val="00185C4D"/>
    <w:rsid w:val="0019692B"/>
    <w:rsid w:val="001A1C58"/>
    <w:rsid w:val="001A2B68"/>
    <w:rsid w:val="001A37B9"/>
    <w:rsid w:val="001B46D4"/>
    <w:rsid w:val="001C51E0"/>
    <w:rsid w:val="001E77A7"/>
    <w:rsid w:val="001F17FC"/>
    <w:rsid w:val="00203262"/>
    <w:rsid w:val="00221ABD"/>
    <w:rsid w:val="002304F2"/>
    <w:rsid w:val="0023124F"/>
    <w:rsid w:val="002316AD"/>
    <w:rsid w:val="00244322"/>
    <w:rsid w:val="00244A6E"/>
    <w:rsid w:val="00245CEE"/>
    <w:rsid w:val="002565C1"/>
    <w:rsid w:val="00257C83"/>
    <w:rsid w:val="00273F15"/>
    <w:rsid w:val="002922CE"/>
    <w:rsid w:val="002962EB"/>
    <w:rsid w:val="0029651C"/>
    <w:rsid w:val="002A03D8"/>
    <w:rsid w:val="002A3171"/>
    <w:rsid w:val="002A47D7"/>
    <w:rsid w:val="002E39B0"/>
    <w:rsid w:val="002F729C"/>
    <w:rsid w:val="003130DF"/>
    <w:rsid w:val="00323C61"/>
    <w:rsid w:val="00326ADE"/>
    <w:rsid w:val="00332EDA"/>
    <w:rsid w:val="003639EF"/>
    <w:rsid w:val="00386EBC"/>
    <w:rsid w:val="00391B22"/>
    <w:rsid w:val="00397799"/>
    <w:rsid w:val="003A0C97"/>
    <w:rsid w:val="003A48E1"/>
    <w:rsid w:val="003B4EC4"/>
    <w:rsid w:val="003B7EF6"/>
    <w:rsid w:val="003F3D4B"/>
    <w:rsid w:val="003F40BD"/>
    <w:rsid w:val="003F4CED"/>
    <w:rsid w:val="003F5497"/>
    <w:rsid w:val="0040362B"/>
    <w:rsid w:val="00411FA8"/>
    <w:rsid w:val="004171D3"/>
    <w:rsid w:val="00421215"/>
    <w:rsid w:val="00430FBB"/>
    <w:rsid w:val="00435C33"/>
    <w:rsid w:val="00437973"/>
    <w:rsid w:val="004417C1"/>
    <w:rsid w:val="00442C28"/>
    <w:rsid w:val="00442F09"/>
    <w:rsid w:val="0044715C"/>
    <w:rsid w:val="00453E58"/>
    <w:rsid w:val="00461532"/>
    <w:rsid w:val="004622F2"/>
    <w:rsid w:val="00466A67"/>
    <w:rsid w:val="00472722"/>
    <w:rsid w:val="00481F38"/>
    <w:rsid w:val="004A27DE"/>
    <w:rsid w:val="004A7396"/>
    <w:rsid w:val="004B54E9"/>
    <w:rsid w:val="004E1009"/>
    <w:rsid w:val="004F5117"/>
    <w:rsid w:val="00511D74"/>
    <w:rsid w:val="00513641"/>
    <w:rsid w:val="00513FB0"/>
    <w:rsid w:val="0051632D"/>
    <w:rsid w:val="005178B4"/>
    <w:rsid w:val="0052258E"/>
    <w:rsid w:val="005234F9"/>
    <w:rsid w:val="00526E7D"/>
    <w:rsid w:val="00532188"/>
    <w:rsid w:val="00533718"/>
    <w:rsid w:val="00543861"/>
    <w:rsid w:val="005440D3"/>
    <w:rsid w:val="0055709D"/>
    <w:rsid w:val="00560363"/>
    <w:rsid w:val="005629C3"/>
    <w:rsid w:val="00566589"/>
    <w:rsid w:val="00570338"/>
    <w:rsid w:val="005704CF"/>
    <w:rsid w:val="0057143F"/>
    <w:rsid w:val="00577200"/>
    <w:rsid w:val="0058155B"/>
    <w:rsid w:val="00585030"/>
    <w:rsid w:val="0059426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5B95"/>
    <w:rsid w:val="00657FAD"/>
    <w:rsid w:val="006862AD"/>
    <w:rsid w:val="006932BB"/>
    <w:rsid w:val="006A3A9B"/>
    <w:rsid w:val="006A50C0"/>
    <w:rsid w:val="006B057C"/>
    <w:rsid w:val="006B1158"/>
    <w:rsid w:val="006C4112"/>
    <w:rsid w:val="006C7F54"/>
    <w:rsid w:val="006D4535"/>
    <w:rsid w:val="006D564E"/>
    <w:rsid w:val="006D638D"/>
    <w:rsid w:val="006E07F7"/>
    <w:rsid w:val="006F111A"/>
    <w:rsid w:val="006F35CD"/>
    <w:rsid w:val="006F4B1B"/>
    <w:rsid w:val="006F64F8"/>
    <w:rsid w:val="006F7660"/>
    <w:rsid w:val="00703379"/>
    <w:rsid w:val="00704183"/>
    <w:rsid w:val="00722FEC"/>
    <w:rsid w:val="007241DD"/>
    <w:rsid w:val="00731E1C"/>
    <w:rsid w:val="00740E7D"/>
    <w:rsid w:val="007468D2"/>
    <w:rsid w:val="00751A45"/>
    <w:rsid w:val="00755D11"/>
    <w:rsid w:val="00762CB4"/>
    <w:rsid w:val="00763BB4"/>
    <w:rsid w:val="00766475"/>
    <w:rsid w:val="00766CE9"/>
    <w:rsid w:val="00773002"/>
    <w:rsid w:val="007824CC"/>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417B"/>
    <w:rsid w:val="00826D26"/>
    <w:rsid w:val="008279FC"/>
    <w:rsid w:val="00845006"/>
    <w:rsid w:val="00852F18"/>
    <w:rsid w:val="008575F4"/>
    <w:rsid w:val="00857E10"/>
    <w:rsid w:val="008709EB"/>
    <w:rsid w:val="0087209D"/>
    <w:rsid w:val="00873BDC"/>
    <w:rsid w:val="00895D3F"/>
    <w:rsid w:val="008B2848"/>
    <w:rsid w:val="008B7FE1"/>
    <w:rsid w:val="008D4969"/>
    <w:rsid w:val="008D590C"/>
    <w:rsid w:val="008E39AE"/>
    <w:rsid w:val="008E4498"/>
    <w:rsid w:val="008F3576"/>
    <w:rsid w:val="008F3F23"/>
    <w:rsid w:val="008F3FE5"/>
    <w:rsid w:val="00904841"/>
    <w:rsid w:val="00907BDD"/>
    <w:rsid w:val="009117AA"/>
    <w:rsid w:val="00916792"/>
    <w:rsid w:val="00927BDA"/>
    <w:rsid w:val="00933DC0"/>
    <w:rsid w:val="009358D8"/>
    <w:rsid w:val="00954574"/>
    <w:rsid w:val="00972777"/>
    <w:rsid w:val="00984A0C"/>
    <w:rsid w:val="00991B77"/>
    <w:rsid w:val="009924B5"/>
    <w:rsid w:val="009B6B68"/>
    <w:rsid w:val="009C6091"/>
    <w:rsid w:val="009D5DC1"/>
    <w:rsid w:val="009F104A"/>
    <w:rsid w:val="009F20BA"/>
    <w:rsid w:val="009F5B5D"/>
    <w:rsid w:val="00A07114"/>
    <w:rsid w:val="00A10986"/>
    <w:rsid w:val="00A129AC"/>
    <w:rsid w:val="00A257F2"/>
    <w:rsid w:val="00A36D94"/>
    <w:rsid w:val="00A60724"/>
    <w:rsid w:val="00A60EEE"/>
    <w:rsid w:val="00A645C2"/>
    <w:rsid w:val="00A738F3"/>
    <w:rsid w:val="00A73A8F"/>
    <w:rsid w:val="00A749B6"/>
    <w:rsid w:val="00A76A9C"/>
    <w:rsid w:val="00A830EA"/>
    <w:rsid w:val="00A90AF6"/>
    <w:rsid w:val="00A9168E"/>
    <w:rsid w:val="00AA029C"/>
    <w:rsid w:val="00AA08FD"/>
    <w:rsid w:val="00AA2897"/>
    <w:rsid w:val="00AC0B56"/>
    <w:rsid w:val="00AC5723"/>
    <w:rsid w:val="00AC6D4A"/>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7E32"/>
    <w:rsid w:val="00B653F5"/>
    <w:rsid w:val="00B72DD5"/>
    <w:rsid w:val="00B739CF"/>
    <w:rsid w:val="00B86677"/>
    <w:rsid w:val="00B969FE"/>
    <w:rsid w:val="00BA1CD4"/>
    <w:rsid w:val="00BA1D02"/>
    <w:rsid w:val="00BC2B00"/>
    <w:rsid w:val="00BD39FB"/>
    <w:rsid w:val="00BE2758"/>
    <w:rsid w:val="00BE35AA"/>
    <w:rsid w:val="00BF3EE7"/>
    <w:rsid w:val="00C0359C"/>
    <w:rsid w:val="00C103F1"/>
    <w:rsid w:val="00C21B68"/>
    <w:rsid w:val="00C24092"/>
    <w:rsid w:val="00C339A4"/>
    <w:rsid w:val="00C34FD1"/>
    <w:rsid w:val="00C373B4"/>
    <w:rsid w:val="00C45207"/>
    <w:rsid w:val="00C52AA3"/>
    <w:rsid w:val="00C576FE"/>
    <w:rsid w:val="00C57AC2"/>
    <w:rsid w:val="00C90F5D"/>
    <w:rsid w:val="00C927F2"/>
    <w:rsid w:val="00C960DE"/>
    <w:rsid w:val="00CA1F73"/>
    <w:rsid w:val="00CA6FA2"/>
    <w:rsid w:val="00CB24C2"/>
    <w:rsid w:val="00CD1450"/>
    <w:rsid w:val="00CD26AC"/>
    <w:rsid w:val="00CE087F"/>
    <w:rsid w:val="00CF1C13"/>
    <w:rsid w:val="00CF71B4"/>
    <w:rsid w:val="00D0696F"/>
    <w:rsid w:val="00D10CCE"/>
    <w:rsid w:val="00D10D98"/>
    <w:rsid w:val="00D128B0"/>
    <w:rsid w:val="00D170E5"/>
    <w:rsid w:val="00D17FE3"/>
    <w:rsid w:val="00D23AD0"/>
    <w:rsid w:val="00D24DE1"/>
    <w:rsid w:val="00D25293"/>
    <w:rsid w:val="00D26F9E"/>
    <w:rsid w:val="00D271FE"/>
    <w:rsid w:val="00D369F6"/>
    <w:rsid w:val="00D37F9B"/>
    <w:rsid w:val="00D45CBE"/>
    <w:rsid w:val="00D47AF6"/>
    <w:rsid w:val="00D61B85"/>
    <w:rsid w:val="00D6500F"/>
    <w:rsid w:val="00D70A77"/>
    <w:rsid w:val="00D74382"/>
    <w:rsid w:val="00D849FF"/>
    <w:rsid w:val="00D955B0"/>
    <w:rsid w:val="00DA0BDC"/>
    <w:rsid w:val="00DB59D7"/>
    <w:rsid w:val="00DB75E0"/>
    <w:rsid w:val="00DC4D0A"/>
    <w:rsid w:val="00DD7501"/>
    <w:rsid w:val="00DE6494"/>
    <w:rsid w:val="00DF24A7"/>
    <w:rsid w:val="00DF2EDF"/>
    <w:rsid w:val="00DF79D0"/>
    <w:rsid w:val="00E06306"/>
    <w:rsid w:val="00E154EB"/>
    <w:rsid w:val="00E17DD6"/>
    <w:rsid w:val="00E22B41"/>
    <w:rsid w:val="00E2469A"/>
    <w:rsid w:val="00E25CF9"/>
    <w:rsid w:val="00E32382"/>
    <w:rsid w:val="00E40762"/>
    <w:rsid w:val="00E65731"/>
    <w:rsid w:val="00E65C78"/>
    <w:rsid w:val="00E65E8A"/>
    <w:rsid w:val="00E67E28"/>
    <w:rsid w:val="00E843C3"/>
    <w:rsid w:val="00E84932"/>
    <w:rsid w:val="00EB4073"/>
    <w:rsid w:val="00EB6AA1"/>
    <w:rsid w:val="00EC001C"/>
    <w:rsid w:val="00EC07AF"/>
    <w:rsid w:val="00EC171E"/>
    <w:rsid w:val="00EC5D81"/>
    <w:rsid w:val="00ED344E"/>
    <w:rsid w:val="00EE300B"/>
    <w:rsid w:val="00EE37B5"/>
    <w:rsid w:val="00F17697"/>
    <w:rsid w:val="00F3479A"/>
    <w:rsid w:val="00F363E4"/>
    <w:rsid w:val="00F374AD"/>
    <w:rsid w:val="00F41641"/>
    <w:rsid w:val="00F60C74"/>
    <w:rsid w:val="00F61C46"/>
    <w:rsid w:val="00F61D4C"/>
    <w:rsid w:val="00F7009A"/>
    <w:rsid w:val="00F87512"/>
    <w:rsid w:val="00FA0083"/>
    <w:rsid w:val="00FA12D4"/>
    <w:rsid w:val="00FA759C"/>
    <w:rsid w:val="00FB0AF3"/>
    <w:rsid w:val="00FC3417"/>
    <w:rsid w:val="00FC5855"/>
    <w:rsid w:val="00FC7327"/>
    <w:rsid w:val="00FD2976"/>
    <w:rsid w:val="00FD4EDB"/>
    <w:rsid w:val="00FE0AFD"/>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19845071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2016-05-16T07:09:00Z</cp:lastPrinted>
  <dcterms:created xsi:type="dcterms:W3CDTF">2016-06-02T11:38:00Z</dcterms:created>
  <dcterms:modified xsi:type="dcterms:W3CDTF">2016-06-02T11:38:00Z</dcterms:modified>
</cp:coreProperties>
</file>