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8C527F" w:rsidRDefault="008C527F" w:rsidP="008C527F">
      <w:pPr>
        <w:pStyle w:val="BodyText"/>
        <w:rPr>
          <w:b/>
          <w:bCs/>
          <w:sz w:val="24"/>
          <w:u w:val="single"/>
        </w:rPr>
      </w:pPr>
      <w:r w:rsidRPr="0034705D">
        <w:rPr>
          <w:b/>
          <w:bCs/>
          <w:sz w:val="24"/>
          <w:u w:val="single"/>
        </w:rPr>
        <w:t xml:space="preserve">QUESTION NO. </w:t>
      </w:r>
      <w:r w:rsidR="00D26747">
        <w:rPr>
          <w:b/>
          <w:bCs/>
          <w:sz w:val="24"/>
          <w:u w:val="single"/>
        </w:rPr>
        <w:t>3</w:t>
      </w:r>
      <w:r w:rsidR="000F02CC">
        <w:rPr>
          <w:b/>
          <w:bCs/>
          <w:sz w:val="24"/>
          <w:u w:val="single"/>
        </w:rPr>
        <w:t>6</w:t>
      </w:r>
      <w:r w:rsidR="000329E2">
        <w:rPr>
          <w:b/>
          <w:bCs/>
          <w:sz w:val="24"/>
          <w:u w:val="single"/>
        </w:rPr>
        <w:t>94</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8F7BA5">
        <w:rPr>
          <w:b/>
          <w:bCs/>
          <w:sz w:val="24"/>
          <w:u w:val="single"/>
        </w:rPr>
        <w:t>14 OCTOBER</w:t>
      </w:r>
      <w:r>
        <w:rPr>
          <w:b/>
          <w:bCs/>
          <w:sz w:val="24"/>
          <w:u w:val="single"/>
        </w:rPr>
        <w:t xml:space="preserve"> </w:t>
      </w:r>
      <w:r w:rsidRPr="00934798">
        <w:rPr>
          <w:b/>
          <w:bCs/>
          <w:sz w:val="24"/>
          <w:u w:val="single"/>
        </w:rPr>
        <w:t>20</w:t>
      </w:r>
      <w:r>
        <w:rPr>
          <w:b/>
          <w:bCs/>
          <w:sz w:val="24"/>
          <w:u w:val="single"/>
        </w:rPr>
        <w:t>22</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A30707">
        <w:rPr>
          <w:rFonts w:ascii="Arial" w:hAnsi="Arial" w:cs="Arial"/>
          <w:b/>
          <w:bCs/>
          <w:sz w:val="24"/>
          <w:u w:val="single"/>
        </w:rPr>
        <w:t>3</w:t>
      </w:r>
      <w:r w:rsidR="008F7BA5">
        <w:rPr>
          <w:rFonts w:ascii="Arial" w:hAnsi="Arial" w:cs="Arial"/>
          <w:b/>
          <w:bCs/>
          <w:sz w:val="24"/>
          <w:u w:val="single"/>
        </w:rPr>
        <w:t>8</w:t>
      </w:r>
      <w:r w:rsidRPr="008C527F">
        <w:rPr>
          <w:rFonts w:ascii="Arial" w:hAnsi="Arial" w:cs="Arial"/>
          <w:b/>
          <w:bCs/>
          <w:sz w:val="24"/>
          <w:u w:val="single"/>
        </w:rPr>
        <w:t>)</w:t>
      </w:r>
    </w:p>
    <w:p w:rsidR="000329E2" w:rsidRPr="000329E2" w:rsidRDefault="000329E2" w:rsidP="000329E2">
      <w:pPr>
        <w:spacing w:before="100" w:beforeAutospacing="1" w:after="100" w:afterAutospacing="1" w:line="240" w:lineRule="auto"/>
        <w:ind w:left="720" w:right="26" w:hanging="720"/>
        <w:jc w:val="both"/>
        <w:outlineLvl w:val="0"/>
        <w:rPr>
          <w:rFonts w:ascii="Arial" w:hAnsi="Arial" w:cs="Arial"/>
          <w:b/>
          <w:bCs/>
          <w:sz w:val="24"/>
          <w:szCs w:val="24"/>
          <w:u w:val="single"/>
        </w:rPr>
      </w:pPr>
      <w:r w:rsidRPr="000329E2">
        <w:rPr>
          <w:rFonts w:ascii="Arial" w:hAnsi="Arial" w:cs="Arial"/>
          <w:b/>
          <w:bCs/>
          <w:sz w:val="24"/>
          <w:szCs w:val="24"/>
          <w:u w:val="single"/>
        </w:rPr>
        <w:t xml:space="preserve">Mr M Tshwaku (EFF) to ask the </w:t>
      </w:r>
      <w:r w:rsidRPr="000329E2">
        <w:rPr>
          <w:rFonts w:ascii="Arial" w:hAnsi="Arial" w:cs="Arial"/>
          <w:b/>
          <w:sz w:val="24"/>
          <w:szCs w:val="24"/>
          <w:u w:val="single"/>
        </w:rPr>
        <w:t>Minister</w:t>
      </w:r>
      <w:r w:rsidRPr="000329E2">
        <w:rPr>
          <w:rFonts w:ascii="Arial" w:hAnsi="Arial" w:cs="Arial"/>
          <w:b/>
          <w:bCs/>
          <w:sz w:val="24"/>
          <w:szCs w:val="24"/>
          <w:u w:val="single"/>
        </w:rPr>
        <w:t xml:space="preserve"> of Health</w:t>
      </w:r>
      <w:r w:rsidR="00603B36" w:rsidRPr="000329E2">
        <w:rPr>
          <w:rFonts w:ascii="Arial" w:hAnsi="Arial" w:cs="Arial"/>
          <w:b/>
          <w:bCs/>
          <w:sz w:val="24"/>
          <w:szCs w:val="24"/>
          <w:u w:val="single"/>
        </w:rPr>
        <w:fldChar w:fldCharType="begin"/>
      </w:r>
      <w:r w:rsidRPr="000329E2">
        <w:rPr>
          <w:rFonts w:ascii="Arial" w:hAnsi="Arial" w:cs="Arial"/>
          <w:u w:val="single"/>
        </w:rPr>
        <w:instrText xml:space="preserve"> XE "</w:instrText>
      </w:r>
      <w:r w:rsidRPr="000329E2">
        <w:rPr>
          <w:rFonts w:ascii="Arial" w:hAnsi="Arial" w:cs="Arial"/>
          <w:b/>
          <w:sz w:val="24"/>
          <w:szCs w:val="24"/>
          <w:u w:val="single"/>
        </w:rPr>
        <w:instrText>Minister of Health</w:instrText>
      </w:r>
      <w:r w:rsidRPr="000329E2">
        <w:rPr>
          <w:rFonts w:ascii="Arial" w:hAnsi="Arial" w:cs="Arial"/>
          <w:u w:val="single"/>
        </w:rPr>
        <w:instrText xml:space="preserve">" </w:instrText>
      </w:r>
      <w:r w:rsidR="00603B36" w:rsidRPr="000329E2">
        <w:rPr>
          <w:rFonts w:ascii="Arial" w:hAnsi="Arial" w:cs="Arial"/>
          <w:b/>
          <w:bCs/>
          <w:sz w:val="24"/>
          <w:szCs w:val="24"/>
          <w:u w:val="single"/>
        </w:rPr>
        <w:fldChar w:fldCharType="end"/>
      </w:r>
      <w:r w:rsidRPr="000329E2">
        <w:rPr>
          <w:rFonts w:ascii="Arial" w:hAnsi="Arial" w:cs="Arial"/>
          <w:sz w:val="24"/>
          <w:szCs w:val="24"/>
          <w:u w:val="single"/>
          <w:lang w:val="en-GB"/>
        </w:rPr>
        <w:t>:</w:t>
      </w:r>
    </w:p>
    <w:p w:rsidR="000329E2" w:rsidRPr="000329E2" w:rsidRDefault="6F23164F" w:rsidP="6F23164F">
      <w:pPr>
        <w:spacing w:before="100" w:beforeAutospacing="1" w:after="100" w:afterAutospacing="1" w:line="240" w:lineRule="auto"/>
        <w:ind w:left="709" w:right="26" w:hanging="720"/>
        <w:jc w:val="both"/>
        <w:outlineLvl w:val="0"/>
        <w:rPr>
          <w:rFonts w:ascii="Arial" w:hAnsi="Arial" w:cs="Arial"/>
          <w:sz w:val="24"/>
          <w:szCs w:val="24"/>
          <w:lang w:val="en-GB"/>
        </w:rPr>
      </w:pPr>
      <w:r w:rsidRPr="6F23164F">
        <w:rPr>
          <w:rFonts w:ascii="Arial" w:hAnsi="Arial" w:cs="Arial"/>
          <w:sz w:val="24"/>
          <w:szCs w:val="24"/>
          <w:lang w:val="en-GB"/>
        </w:rPr>
        <w:t>(1)</w:t>
      </w:r>
      <w:r w:rsidR="000329E2">
        <w:tab/>
      </w:r>
      <w:r w:rsidRPr="6F23164F">
        <w:rPr>
          <w:rFonts w:ascii="Arial" w:hAnsi="Arial" w:cs="Arial"/>
          <w:sz w:val="24"/>
          <w:szCs w:val="24"/>
          <w:lang w:val="en-GB"/>
        </w:rPr>
        <w:t>With regard to the Medi-Q Sustainable Health Care Solutions (PTY) which was issued with a license only to be revoked later (</w:t>
      </w:r>
      <w:r w:rsidRPr="6F23164F">
        <w:rPr>
          <w:rFonts w:ascii="Arial" w:hAnsi="Arial" w:cs="Arial"/>
          <w:color w:val="000000" w:themeColor="text1"/>
          <w:sz w:val="24"/>
          <w:szCs w:val="24"/>
          <w:lang w:val="en-GB"/>
        </w:rPr>
        <w:t>details furnished</w:t>
      </w:r>
      <w:r w:rsidRPr="6F23164F">
        <w:rPr>
          <w:rFonts w:ascii="Arial" w:hAnsi="Arial" w:cs="Arial"/>
          <w:sz w:val="24"/>
          <w:szCs w:val="24"/>
          <w:lang w:val="en-GB"/>
        </w:rPr>
        <w:t xml:space="preserve">), (a) what are the reasons that SAPHRA is </w:t>
      </w:r>
      <w:r w:rsidRPr="6F23164F">
        <w:rPr>
          <w:rFonts w:ascii="Arial" w:eastAsia="Times New Roman" w:hAnsi="Arial" w:cs="Arial"/>
          <w:sz w:val="24"/>
          <w:szCs w:val="24"/>
          <w:lang w:val="en-US"/>
        </w:rPr>
        <w:t>not</w:t>
      </w:r>
      <w:r w:rsidRPr="6F23164F">
        <w:rPr>
          <w:rFonts w:ascii="Arial" w:hAnsi="Arial" w:cs="Arial"/>
          <w:sz w:val="24"/>
          <w:szCs w:val="24"/>
          <w:lang w:val="en-GB"/>
        </w:rPr>
        <w:t xml:space="preserve"> responding to Medi-Q communication and (b) on what date is it envisaged that SAPHRA will resolve the matter;</w:t>
      </w:r>
    </w:p>
    <w:p w:rsidR="00DA1577" w:rsidRPr="000329E2" w:rsidRDefault="000329E2" w:rsidP="000329E2">
      <w:pPr>
        <w:spacing w:before="100" w:beforeAutospacing="1" w:after="100" w:afterAutospacing="1" w:line="240" w:lineRule="auto"/>
        <w:ind w:left="709" w:right="26" w:hanging="720"/>
        <w:jc w:val="both"/>
        <w:outlineLvl w:val="0"/>
        <w:rPr>
          <w:rFonts w:ascii="Times New Roman" w:hAnsi="Times New Roman" w:cs="Times New Roman"/>
          <w:sz w:val="20"/>
          <w:szCs w:val="20"/>
          <w:lang w:val="en-GB"/>
        </w:rPr>
      </w:pPr>
      <w:r w:rsidRPr="000329E2">
        <w:rPr>
          <w:rFonts w:ascii="Arial" w:hAnsi="Arial" w:cs="Arial"/>
          <w:sz w:val="24"/>
          <w:szCs w:val="24"/>
          <w:lang w:val="en-GB"/>
        </w:rPr>
        <w:t>(2)</w:t>
      </w:r>
      <w:r w:rsidRPr="000329E2">
        <w:rPr>
          <w:rFonts w:ascii="Arial" w:hAnsi="Arial" w:cs="Arial"/>
          <w:sz w:val="24"/>
          <w:szCs w:val="24"/>
          <w:lang w:val="en-GB"/>
        </w:rPr>
        <w:tab/>
        <w:t xml:space="preserve">whether SAPHRA will </w:t>
      </w:r>
      <w:r w:rsidRPr="000329E2">
        <w:rPr>
          <w:rFonts w:ascii="Arial" w:eastAsia="Times New Roman" w:hAnsi="Arial" w:cs="Arial"/>
          <w:sz w:val="24"/>
          <w:szCs w:val="24"/>
          <w:lang w:val="en-US"/>
        </w:rPr>
        <w:t>compensate</w:t>
      </w:r>
      <w:r w:rsidRPr="000329E2">
        <w:rPr>
          <w:rFonts w:ascii="Arial" w:hAnsi="Arial" w:cs="Arial"/>
          <w:sz w:val="24"/>
          <w:szCs w:val="24"/>
          <w:lang w:val="en-GB"/>
        </w:rPr>
        <w:t xml:space="preserve"> Med-Q for the income lost by their delaying tactics; if not, why not; if so, what are the relevant details?</w:t>
      </w:r>
      <w:r w:rsidRPr="000329E2">
        <w:rPr>
          <w:rFonts w:ascii="Arial" w:hAnsi="Arial" w:cs="Arial"/>
          <w:b/>
          <w:sz w:val="24"/>
          <w:szCs w:val="24"/>
          <w:lang w:val="en-GB"/>
        </w:rPr>
        <w:tab/>
      </w:r>
      <w:r w:rsidRPr="008819F7">
        <w:rPr>
          <w:rFonts w:ascii="Times New Roman" w:hAnsi="Times New Roman" w:cs="Times New Roman"/>
          <w:b/>
          <w:sz w:val="24"/>
          <w:szCs w:val="24"/>
          <w:lang w:val="en-GB"/>
        </w:rPr>
        <w:tab/>
      </w:r>
      <w:r>
        <w:rPr>
          <w:rFonts w:ascii="Times New Roman" w:hAnsi="Times New Roman" w:cs="Times New Roman"/>
          <w:b/>
          <w:sz w:val="24"/>
          <w:szCs w:val="24"/>
          <w:lang w:val="en-GB"/>
        </w:rPr>
        <w:tab/>
      </w:r>
      <w:r>
        <w:rPr>
          <w:rFonts w:ascii="Times New Roman" w:hAnsi="Times New Roman" w:cs="Times New Roman"/>
          <w:b/>
          <w:sz w:val="24"/>
          <w:szCs w:val="24"/>
          <w:lang w:val="en-GB"/>
        </w:rPr>
        <w:tab/>
      </w:r>
      <w:r w:rsidR="00DA1577" w:rsidRPr="00DA1577">
        <w:rPr>
          <w:rFonts w:ascii="Arial" w:hAnsi="Arial" w:cs="Arial"/>
          <w:b/>
          <w:bCs/>
          <w:sz w:val="12"/>
          <w:szCs w:val="12"/>
        </w:rPr>
        <w:t>NW</w:t>
      </w:r>
      <w:r w:rsidR="00FB7649">
        <w:rPr>
          <w:rFonts w:ascii="Arial" w:hAnsi="Arial" w:cs="Arial"/>
          <w:b/>
          <w:bCs/>
          <w:sz w:val="12"/>
          <w:szCs w:val="12"/>
        </w:rPr>
        <w:t>4</w:t>
      </w:r>
      <w:r w:rsidR="003C28E2">
        <w:rPr>
          <w:rFonts w:ascii="Arial" w:hAnsi="Arial" w:cs="Arial"/>
          <w:b/>
          <w:bCs/>
          <w:sz w:val="12"/>
          <w:szCs w:val="12"/>
        </w:rPr>
        <w:t>5</w:t>
      </w:r>
      <w:r>
        <w:rPr>
          <w:rFonts w:ascii="Arial" w:hAnsi="Arial" w:cs="Arial"/>
          <w:b/>
          <w:bCs/>
          <w:sz w:val="12"/>
          <w:szCs w:val="12"/>
        </w:rPr>
        <w:t>22</w:t>
      </w:r>
      <w:r w:rsidR="00DA1577" w:rsidRPr="00DA1577">
        <w:rPr>
          <w:rFonts w:ascii="Arial" w:hAnsi="Arial" w:cs="Arial"/>
          <w:b/>
          <w:bCs/>
          <w:sz w:val="12"/>
          <w:szCs w:val="12"/>
        </w:rPr>
        <w:t>E</w:t>
      </w:r>
    </w:p>
    <w:p w:rsidR="0010613B" w:rsidRPr="00B13266" w:rsidRDefault="0010613B" w:rsidP="0010613B">
      <w:pPr>
        <w:pStyle w:val="NormalWeb"/>
        <w:spacing w:before="0" w:beforeAutospacing="0" w:after="0" w:afterAutospacing="0"/>
        <w:rPr>
          <w:rFonts w:ascii="Arial" w:hAnsi="Arial" w:cs="Arial"/>
          <w:color w:val="000000"/>
        </w:rPr>
      </w:pPr>
    </w:p>
    <w:p w:rsidR="00B92BFD" w:rsidRDefault="00B92BFD" w:rsidP="007310ED">
      <w:pPr>
        <w:spacing w:line="240" w:lineRule="auto"/>
        <w:ind w:right="100"/>
        <w:jc w:val="both"/>
        <w:rPr>
          <w:rFonts w:ascii="Arial" w:hAnsi="Arial" w:cs="Arial"/>
          <w:b/>
          <w:bCs/>
          <w:color w:val="000000" w:themeColor="text1"/>
          <w:sz w:val="24"/>
          <w:szCs w:val="24"/>
          <w:u w:val="single"/>
        </w:rPr>
      </w:pPr>
      <w:r w:rsidRPr="00B92BFD">
        <w:rPr>
          <w:rFonts w:ascii="Arial" w:hAnsi="Arial" w:cs="Arial"/>
          <w:b/>
          <w:bCs/>
          <w:color w:val="000000" w:themeColor="text1"/>
          <w:sz w:val="24"/>
          <w:szCs w:val="24"/>
          <w:u w:val="single"/>
        </w:rPr>
        <w:t>REPLY:</w:t>
      </w:r>
    </w:p>
    <w:p w:rsidR="004F04E9" w:rsidRDefault="004F04E9" w:rsidP="004F04E9">
      <w:pPr>
        <w:tabs>
          <w:tab w:val="left" w:pos="709"/>
        </w:tabs>
        <w:spacing w:line="240" w:lineRule="auto"/>
        <w:ind w:left="1418" w:hanging="1418"/>
        <w:jc w:val="both"/>
        <w:rPr>
          <w:rFonts w:ascii="Arial" w:hAnsi="Arial" w:cs="Arial"/>
          <w:bCs/>
          <w:sz w:val="24"/>
          <w:szCs w:val="24"/>
        </w:rPr>
      </w:pPr>
      <w:r>
        <w:rPr>
          <w:rFonts w:ascii="Arial" w:hAnsi="Arial" w:cs="Arial"/>
          <w:sz w:val="24"/>
          <w:szCs w:val="24"/>
        </w:rPr>
        <w:t>(1)</w:t>
      </w:r>
      <w:r>
        <w:rPr>
          <w:rFonts w:ascii="Arial" w:hAnsi="Arial" w:cs="Arial"/>
          <w:sz w:val="24"/>
          <w:szCs w:val="24"/>
        </w:rPr>
        <w:tab/>
        <w:t xml:space="preserve">(a) </w:t>
      </w:r>
      <w:r>
        <w:rPr>
          <w:rFonts w:ascii="Arial" w:hAnsi="Arial" w:cs="Arial"/>
          <w:sz w:val="24"/>
          <w:szCs w:val="24"/>
        </w:rPr>
        <w:tab/>
        <w:t xml:space="preserve">According to the SAHPRA the matter was responded to through a letter addressed to </w:t>
      </w:r>
      <w:r>
        <w:rPr>
          <w:rFonts w:ascii="Arial" w:hAnsi="Arial" w:cs="Arial"/>
          <w:bCs/>
          <w:sz w:val="24"/>
          <w:szCs w:val="24"/>
        </w:rPr>
        <w:t>Medi-Q dated 06 October 2022 which was subsequently acknowledged by the Company through email on the same day</w:t>
      </w:r>
    </w:p>
    <w:p w:rsidR="004F04E9" w:rsidRDefault="004F04E9" w:rsidP="004F04E9">
      <w:pPr>
        <w:tabs>
          <w:tab w:val="left" w:pos="709"/>
        </w:tabs>
        <w:spacing w:line="240" w:lineRule="auto"/>
        <w:ind w:left="1418" w:hanging="1418"/>
        <w:jc w:val="both"/>
        <w:rPr>
          <w:rFonts w:ascii="Arial" w:hAnsi="Arial" w:cs="Arial"/>
          <w:bCs/>
          <w:sz w:val="24"/>
          <w:szCs w:val="24"/>
        </w:rPr>
      </w:pPr>
      <w:r>
        <w:rPr>
          <w:rFonts w:ascii="Arial" w:hAnsi="Arial" w:cs="Arial"/>
          <w:bCs/>
          <w:sz w:val="24"/>
          <w:szCs w:val="24"/>
        </w:rPr>
        <w:tab/>
        <w:t xml:space="preserve">(b) </w:t>
      </w:r>
      <w:r>
        <w:rPr>
          <w:rFonts w:ascii="Arial" w:hAnsi="Arial" w:cs="Arial"/>
          <w:bCs/>
          <w:sz w:val="24"/>
          <w:szCs w:val="24"/>
        </w:rPr>
        <w:tab/>
        <w:t xml:space="preserve">The matter has been resolved. </w:t>
      </w:r>
    </w:p>
    <w:p w:rsidR="004F04E9" w:rsidRDefault="004F04E9" w:rsidP="004F04E9">
      <w:pPr>
        <w:pStyle w:val="p2"/>
        <w:ind w:left="720" w:hanging="720"/>
        <w:jc w:val="both"/>
        <w:rPr>
          <w:bCs/>
          <w:sz w:val="24"/>
          <w:szCs w:val="24"/>
        </w:rPr>
      </w:pPr>
    </w:p>
    <w:p w:rsidR="007310ED" w:rsidRPr="004B659E" w:rsidRDefault="004F04E9" w:rsidP="004F04E9">
      <w:pPr>
        <w:pStyle w:val="p2"/>
        <w:ind w:left="720" w:hanging="720"/>
        <w:jc w:val="both"/>
        <w:rPr>
          <w:sz w:val="24"/>
          <w:szCs w:val="24"/>
        </w:rPr>
      </w:pPr>
      <w:r>
        <w:rPr>
          <w:bCs/>
          <w:sz w:val="24"/>
          <w:szCs w:val="24"/>
        </w:rPr>
        <w:t xml:space="preserve">(2) </w:t>
      </w:r>
      <w:r>
        <w:rPr>
          <w:bCs/>
          <w:sz w:val="24"/>
          <w:szCs w:val="24"/>
        </w:rPr>
        <w:tab/>
      </w:r>
      <w:r>
        <w:rPr>
          <w:sz w:val="24"/>
          <w:szCs w:val="24"/>
        </w:rPr>
        <w:t>This matter was resolved in April 2020 following finalisation of an appeal in terms of section 24A of the Medicines and Related Substances Act, 1965 (Act No. 103 of 1965).  In August 2022, Medi-Q requested a meeting and SAHPRA responded in October 2022 advising Medi-Q that, this matter was resolved when section 24A appeal was lodged and resolved.</w:t>
      </w:r>
      <w:r w:rsidR="007310ED" w:rsidRPr="004B659E">
        <w:rPr>
          <w:sz w:val="24"/>
          <w:szCs w:val="24"/>
        </w:rPr>
        <w:t xml:space="preserve"> </w:t>
      </w:r>
    </w:p>
    <w:p w:rsidR="00B57B69" w:rsidRPr="007310ED" w:rsidRDefault="00B57B69" w:rsidP="007310ED">
      <w:pPr>
        <w:spacing w:line="240" w:lineRule="auto"/>
        <w:jc w:val="both"/>
        <w:rPr>
          <w:rFonts w:ascii="Arial" w:hAnsi="Arial" w:cs="Arial"/>
          <w:sz w:val="24"/>
          <w:szCs w:val="24"/>
        </w:rPr>
      </w:pPr>
    </w:p>
    <w:p w:rsidR="00E134D1" w:rsidRPr="006F49AE" w:rsidRDefault="00B92BFD" w:rsidP="007310ED">
      <w:pPr>
        <w:spacing w:line="240" w:lineRule="auto"/>
        <w:jc w:val="both"/>
        <w:rPr>
          <w:rFonts w:ascii="Arial" w:hAnsi="Arial" w:cs="Arial"/>
          <w:color w:val="000000" w:themeColor="text1"/>
          <w:sz w:val="24"/>
          <w:szCs w:val="24"/>
          <w:lang w:val="en-US"/>
        </w:rPr>
      </w:pPr>
      <w:r w:rsidRPr="006F49AE">
        <w:rPr>
          <w:rFonts w:ascii="Arial" w:hAnsi="Arial" w:cs="Arial"/>
          <w:sz w:val="24"/>
          <w:szCs w:val="24"/>
          <w:lang w:val="en-US"/>
        </w:rPr>
        <w:t>END.</w:t>
      </w:r>
    </w:p>
    <w:sectPr w:rsidR="00E134D1" w:rsidRPr="006F49AE" w:rsidSect="0020357C">
      <w:footerReference w:type="default" r:id="rId7"/>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E96" w:rsidRDefault="00EC3E96" w:rsidP="00BF747C">
      <w:pPr>
        <w:spacing w:after="0" w:line="240" w:lineRule="auto"/>
      </w:pPr>
      <w:r>
        <w:separator/>
      </w:r>
    </w:p>
  </w:endnote>
  <w:endnote w:type="continuationSeparator" w:id="0">
    <w:p w:rsidR="00EC3E96" w:rsidRDefault="00EC3E96"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6144085"/>
      <w:docPartObj>
        <w:docPartGallery w:val="Page Numbers (Bottom of Page)"/>
        <w:docPartUnique/>
      </w:docPartObj>
    </w:sdtPr>
    <w:sdtEndPr>
      <w:rPr>
        <w:rFonts w:ascii="Arial" w:hAnsi="Arial" w:cs="Arial"/>
        <w:noProof/>
        <w:sz w:val="24"/>
        <w:szCs w:val="24"/>
      </w:rPr>
    </w:sdtEndPr>
    <w:sdtContent>
      <w:p w:rsidR="00E207B7" w:rsidRPr="00E207B7" w:rsidRDefault="00603B36">
        <w:pPr>
          <w:pStyle w:val="Footer"/>
          <w:jc w:val="center"/>
          <w:rPr>
            <w:rFonts w:ascii="Arial" w:hAnsi="Arial" w:cs="Arial"/>
            <w:sz w:val="24"/>
            <w:szCs w:val="24"/>
          </w:rPr>
        </w:pPr>
        <w:r w:rsidRPr="00E207B7">
          <w:rPr>
            <w:rFonts w:ascii="Arial" w:hAnsi="Arial" w:cs="Arial"/>
            <w:sz w:val="24"/>
            <w:szCs w:val="24"/>
          </w:rPr>
          <w:fldChar w:fldCharType="begin"/>
        </w:r>
        <w:r w:rsidR="00E207B7" w:rsidRPr="00E207B7">
          <w:rPr>
            <w:rFonts w:ascii="Arial" w:hAnsi="Arial" w:cs="Arial"/>
            <w:sz w:val="24"/>
            <w:szCs w:val="24"/>
          </w:rPr>
          <w:instrText xml:space="preserve"> PAGE   \* MERGEFORMAT </w:instrText>
        </w:r>
        <w:r w:rsidRPr="00E207B7">
          <w:rPr>
            <w:rFonts w:ascii="Arial" w:hAnsi="Arial" w:cs="Arial"/>
            <w:sz w:val="24"/>
            <w:szCs w:val="24"/>
          </w:rPr>
          <w:fldChar w:fldCharType="separate"/>
        </w:r>
        <w:r w:rsidR="00EC3E96">
          <w:rPr>
            <w:rFonts w:ascii="Arial" w:hAnsi="Arial" w:cs="Arial"/>
            <w:noProof/>
            <w:sz w:val="24"/>
            <w:szCs w:val="24"/>
          </w:rPr>
          <w:t>1</w:t>
        </w:r>
        <w:r w:rsidRPr="00E207B7">
          <w:rPr>
            <w:rFonts w:ascii="Arial" w:hAnsi="Arial" w:cs="Arial"/>
            <w:noProof/>
            <w:sz w:val="24"/>
            <w:szCs w:val="24"/>
          </w:rPr>
          <w:fldChar w:fldCharType="end"/>
        </w:r>
      </w:p>
    </w:sdtContent>
  </w:sdt>
  <w:p w:rsidR="00E207B7" w:rsidRDefault="00E207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E96" w:rsidRDefault="00EC3E96" w:rsidP="00BF747C">
      <w:pPr>
        <w:spacing w:after="0" w:line="240" w:lineRule="auto"/>
      </w:pPr>
      <w:r>
        <w:separator/>
      </w:r>
    </w:p>
  </w:footnote>
  <w:footnote w:type="continuationSeparator" w:id="0">
    <w:p w:rsidR="00EC3E96" w:rsidRDefault="00EC3E96"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F9327F4"/>
    <w:multiLevelType w:val="hybridMultilevel"/>
    <w:tmpl w:val="07B048BE"/>
    <w:lvl w:ilvl="0" w:tplc="EFC4E1B2">
      <w:start w:val="2"/>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7F13AEC"/>
    <w:multiLevelType w:val="hybridMultilevel"/>
    <w:tmpl w:val="FBB03040"/>
    <w:lvl w:ilvl="0" w:tplc="49C2217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6">
    <w:nsid w:val="1EA9636A"/>
    <w:multiLevelType w:val="hybridMultilevel"/>
    <w:tmpl w:val="583416E6"/>
    <w:lvl w:ilvl="0" w:tplc="CE343C3A">
      <w:start w:val="1"/>
      <w:numFmt w:val="decimal"/>
      <w:lvlText w:val="%1."/>
      <w:lvlJc w:val="left"/>
      <w:pPr>
        <w:ind w:left="720" w:hanging="360"/>
      </w:pPr>
      <w:rPr>
        <w:rFonts w:hint="default"/>
      </w:rPr>
    </w:lvl>
    <w:lvl w:ilvl="1" w:tplc="EE5AAF3A">
      <w:start w:val="1"/>
      <w:numFmt w:val="lowerLetter"/>
      <w:lvlText w:val="%2."/>
      <w:lvlJc w:val="left"/>
      <w:pPr>
        <w:ind w:left="1440" w:hanging="360"/>
      </w:pPr>
      <w:rPr>
        <w:color w:val="auto"/>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5E125CE"/>
    <w:multiLevelType w:val="hybridMultilevel"/>
    <w:tmpl w:val="EBF24E70"/>
    <w:lvl w:ilvl="0" w:tplc="DE4A7A8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461433"/>
    <w:multiLevelType w:val="hybridMultilevel"/>
    <w:tmpl w:val="1D70CD46"/>
    <w:lvl w:ilvl="0" w:tplc="FBD016AC">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3">
    <w:nsid w:val="6840323E"/>
    <w:multiLevelType w:val="hybridMultilevel"/>
    <w:tmpl w:val="87EE23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14"/>
  </w:num>
  <w:num w:numId="5">
    <w:abstractNumId w:val="3"/>
  </w:num>
  <w:num w:numId="6">
    <w:abstractNumId w:val="12"/>
  </w:num>
  <w:num w:numId="7">
    <w:abstractNumId w:val="9"/>
  </w:num>
  <w:num w:numId="8">
    <w:abstractNumId w:val="1"/>
  </w:num>
  <w:num w:numId="9">
    <w:abstractNumId w:val="7"/>
  </w:num>
  <w:num w:numId="10">
    <w:abstractNumId w:val="6"/>
  </w:num>
  <w:num w:numId="11">
    <w:abstractNumId w:val="8"/>
  </w:num>
  <w:num w:numId="12">
    <w:abstractNumId w:val="4"/>
  </w:num>
  <w:num w:numId="13">
    <w:abstractNumId w:val="11"/>
  </w:num>
  <w:num w:numId="14">
    <w:abstractNumId w:val="2"/>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7C76"/>
    <w:rsid w:val="000277C0"/>
    <w:rsid w:val="000324E3"/>
    <w:rsid w:val="000329E2"/>
    <w:rsid w:val="00071955"/>
    <w:rsid w:val="00075845"/>
    <w:rsid w:val="00096184"/>
    <w:rsid w:val="000A7CCB"/>
    <w:rsid w:val="000C71EE"/>
    <w:rsid w:val="000D5020"/>
    <w:rsid w:val="000E3223"/>
    <w:rsid w:val="000F02CC"/>
    <w:rsid w:val="0010613B"/>
    <w:rsid w:val="00192FB1"/>
    <w:rsid w:val="001C17A9"/>
    <w:rsid w:val="001E1EDF"/>
    <w:rsid w:val="001F5233"/>
    <w:rsid w:val="002032D2"/>
    <w:rsid w:val="0020357C"/>
    <w:rsid w:val="00242DDF"/>
    <w:rsid w:val="00254C98"/>
    <w:rsid w:val="00280359"/>
    <w:rsid w:val="002855FA"/>
    <w:rsid w:val="00296A3F"/>
    <w:rsid w:val="002A6A95"/>
    <w:rsid w:val="00396F5D"/>
    <w:rsid w:val="003C28E2"/>
    <w:rsid w:val="003F3E66"/>
    <w:rsid w:val="00423784"/>
    <w:rsid w:val="00431A61"/>
    <w:rsid w:val="00467793"/>
    <w:rsid w:val="00474CEF"/>
    <w:rsid w:val="004862BD"/>
    <w:rsid w:val="00492691"/>
    <w:rsid w:val="004A0D6F"/>
    <w:rsid w:val="004A51DF"/>
    <w:rsid w:val="004C5AF0"/>
    <w:rsid w:val="004C7A6A"/>
    <w:rsid w:val="004F04E9"/>
    <w:rsid w:val="005021BA"/>
    <w:rsid w:val="0054543E"/>
    <w:rsid w:val="00595BE2"/>
    <w:rsid w:val="005C4A4A"/>
    <w:rsid w:val="005C5F0A"/>
    <w:rsid w:val="00603B36"/>
    <w:rsid w:val="006228AA"/>
    <w:rsid w:val="006F19AF"/>
    <w:rsid w:val="006F49AE"/>
    <w:rsid w:val="006F68C1"/>
    <w:rsid w:val="00714683"/>
    <w:rsid w:val="007310ED"/>
    <w:rsid w:val="007C45DC"/>
    <w:rsid w:val="007F0AE0"/>
    <w:rsid w:val="007F3AA9"/>
    <w:rsid w:val="00887F4F"/>
    <w:rsid w:val="00896F99"/>
    <w:rsid w:val="008B0BC5"/>
    <w:rsid w:val="008C527F"/>
    <w:rsid w:val="008C6BEE"/>
    <w:rsid w:val="008E64C0"/>
    <w:rsid w:val="008F7BA5"/>
    <w:rsid w:val="009201C9"/>
    <w:rsid w:val="00931575"/>
    <w:rsid w:val="009B5793"/>
    <w:rsid w:val="009C2956"/>
    <w:rsid w:val="009D650C"/>
    <w:rsid w:val="00A14AFD"/>
    <w:rsid w:val="00A30707"/>
    <w:rsid w:val="00A36AD9"/>
    <w:rsid w:val="00A774BF"/>
    <w:rsid w:val="00AC3830"/>
    <w:rsid w:val="00AD7274"/>
    <w:rsid w:val="00AE5C7D"/>
    <w:rsid w:val="00AF4B38"/>
    <w:rsid w:val="00B15624"/>
    <w:rsid w:val="00B3497E"/>
    <w:rsid w:val="00B37286"/>
    <w:rsid w:val="00B57B69"/>
    <w:rsid w:val="00B62232"/>
    <w:rsid w:val="00B82A02"/>
    <w:rsid w:val="00B92BFD"/>
    <w:rsid w:val="00BE6DE5"/>
    <w:rsid w:val="00BF2D39"/>
    <w:rsid w:val="00BF747C"/>
    <w:rsid w:val="00C04731"/>
    <w:rsid w:val="00C43731"/>
    <w:rsid w:val="00C7269F"/>
    <w:rsid w:val="00C95FFF"/>
    <w:rsid w:val="00CE2151"/>
    <w:rsid w:val="00D0246C"/>
    <w:rsid w:val="00D26747"/>
    <w:rsid w:val="00D3731B"/>
    <w:rsid w:val="00D5019F"/>
    <w:rsid w:val="00D566C6"/>
    <w:rsid w:val="00D702F8"/>
    <w:rsid w:val="00D81A96"/>
    <w:rsid w:val="00DA1577"/>
    <w:rsid w:val="00DB2477"/>
    <w:rsid w:val="00DC27AD"/>
    <w:rsid w:val="00DF76A2"/>
    <w:rsid w:val="00E01245"/>
    <w:rsid w:val="00E134D1"/>
    <w:rsid w:val="00E207B7"/>
    <w:rsid w:val="00E45F7A"/>
    <w:rsid w:val="00E5287A"/>
    <w:rsid w:val="00E67DB8"/>
    <w:rsid w:val="00E86867"/>
    <w:rsid w:val="00E97960"/>
    <w:rsid w:val="00EA7633"/>
    <w:rsid w:val="00EC3E96"/>
    <w:rsid w:val="00ED6340"/>
    <w:rsid w:val="00F27D65"/>
    <w:rsid w:val="00F5530C"/>
    <w:rsid w:val="00F70BC2"/>
    <w:rsid w:val="00F71A34"/>
    <w:rsid w:val="00FB7649"/>
    <w:rsid w:val="00FC3FB5"/>
    <w:rsid w:val="6F23164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B36"/>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styleId="NormalWeb">
    <w:name w:val="Normal (Web)"/>
    <w:basedOn w:val="Normal"/>
    <w:uiPriority w:val="99"/>
    <w:unhideWhenUsed/>
    <w:rsid w:val="009201C9"/>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B92BFD"/>
    <w:pPr>
      <w:spacing w:after="0" w:line="240" w:lineRule="auto"/>
    </w:pPr>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y2iqfc">
    <w:name w:val="y2iqfc"/>
    <w:basedOn w:val="DefaultParagraphFont"/>
    <w:rsid w:val="000C71EE"/>
  </w:style>
  <w:style w:type="character" w:styleId="Emphasis">
    <w:name w:val="Emphasis"/>
    <w:basedOn w:val="DefaultParagraphFont"/>
    <w:uiPriority w:val="20"/>
    <w:qFormat/>
    <w:rsid w:val="00D5019F"/>
    <w:rPr>
      <w:rFonts w:cs="Times New Roman"/>
      <w:i/>
      <w:iCs/>
    </w:rPr>
  </w:style>
  <w:style w:type="paragraph" w:customStyle="1" w:styleId="xmsonormal">
    <w:name w:val="x_msonormal"/>
    <w:basedOn w:val="Normal"/>
    <w:rsid w:val="007310E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1">
    <w:name w:val="p1"/>
    <w:basedOn w:val="Normal"/>
    <w:uiPriority w:val="99"/>
    <w:semiHidden/>
    <w:rsid w:val="007310ED"/>
    <w:pPr>
      <w:spacing w:after="0" w:line="240" w:lineRule="auto"/>
    </w:pPr>
    <w:rPr>
      <w:rFonts w:ascii="Arial" w:hAnsi="Arial" w:cs="Arial"/>
      <w:sz w:val="18"/>
      <w:szCs w:val="18"/>
      <w:lang w:eastAsia="en-ZA"/>
    </w:rPr>
  </w:style>
  <w:style w:type="paragraph" w:customStyle="1" w:styleId="p2">
    <w:name w:val="p2"/>
    <w:basedOn w:val="Normal"/>
    <w:uiPriority w:val="99"/>
    <w:semiHidden/>
    <w:rsid w:val="007310ED"/>
    <w:pPr>
      <w:spacing w:after="0" w:line="240" w:lineRule="auto"/>
    </w:pPr>
    <w:rPr>
      <w:rFonts w:ascii="Arial" w:hAnsi="Arial" w:cs="Arial"/>
      <w:sz w:val="17"/>
      <w:szCs w:val="17"/>
      <w:lang w:eastAsia="en-ZA"/>
    </w:rPr>
  </w:style>
  <w:style w:type="paragraph" w:customStyle="1" w:styleId="p3">
    <w:name w:val="p3"/>
    <w:basedOn w:val="Normal"/>
    <w:uiPriority w:val="99"/>
    <w:semiHidden/>
    <w:rsid w:val="007310ED"/>
    <w:pPr>
      <w:spacing w:after="0" w:line="240" w:lineRule="auto"/>
    </w:pPr>
    <w:rPr>
      <w:rFonts w:ascii="Arial" w:hAnsi="Arial" w:cs="Arial"/>
      <w:sz w:val="17"/>
      <w:szCs w:val="17"/>
      <w:lang w:eastAsia="en-ZA"/>
    </w:rPr>
  </w:style>
  <w:style w:type="character" w:customStyle="1" w:styleId="apple-converted-space">
    <w:name w:val="apple-converted-space"/>
    <w:basedOn w:val="DefaultParagraphFont"/>
    <w:rsid w:val="007310ED"/>
  </w:style>
  <w:style w:type="character" w:customStyle="1" w:styleId="hgkelc">
    <w:name w:val="hgkelc"/>
    <w:basedOn w:val="DefaultParagraphFont"/>
    <w:rsid w:val="000E3223"/>
  </w:style>
</w:styles>
</file>

<file path=word/webSettings.xml><?xml version="1.0" encoding="utf-8"?>
<w:webSettings xmlns:r="http://schemas.openxmlformats.org/officeDocument/2006/relationships" xmlns:w="http://schemas.openxmlformats.org/wordprocessingml/2006/main">
  <w:divs>
    <w:div w:id="4984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efaultTabStop w:val="720"/>
  <w:characterSpacingControl w:val="doNotCompress"/>
  <w:compat>
    <w:useFELayout/>
  </w:compat>
  <w:rsids>
    <w:rsidRoot w:val="00CC4A33"/>
    <w:rsid w:val="00CC4A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1104</Characters>
  <Application>Microsoft Office Word</Application>
  <DocSecurity>0</DocSecurity>
  <Lines>9</Lines>
  <Paragraphs>2</Paragraphs>
  <ScaleCrop>false</ScaleCrop>
  <Company>Toshiba</Company>
  <LinksUpToDate>false</LinksUpToDate>
  <CharactersWithSpaces>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2022-10-25T08:43:00Z</dcterms:created>
  <dcterms:modified xsi:type="dcterms:W3CDTF">2022-10-25T08:43:00Z</dcterms:modified>
</cp:coreProperties>
</file>