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21" w:rsidRDefault="000E50CA" w:rsidP="00ED4E21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428875" cy="1504950"/>
            <wp:effectExtent l="19050" t="0" r="9525" b="0"/>
            <wp:docPr id="1" name="Picture 1" descr="Description: 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21" w:rsidRPr="00740B88" w:rsidRDefault="00ED4E21" w:rsidP="00ED4E21">
      <w:pPr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ED4E21" w:rsidRDefault="00ED4E21" w:rsidP="00ED4E21">
      <w:pPr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>
        <w:rPr>
          <w:rFonts w:ascii="Arial" w:hAnsi="Arial" w:cs="Arial"/>
          <w:sz w:val="16"/>
          <w:szCs w:val="16"/>
        </w:rPr>
        <w:t>9 5150,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ED4E21" w:rsidRPr="003C5A76" w:rsidRDefault="00ED4E21" w:rsidP="00ED4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ED4E21" w:rsidRPr="003C5A76" w:rsidRDefault="00ED4E21" w:rsidP="00ED4E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:rsidR="00ED4E21" w:rsidRPr="003C5A76" w:rsidRDefault="00ED4E21" w:rsidP="00ED4E21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ED4E21" w:rsidRPr="003C5A76" w:rsidRDefault="00ED4E21" w:rsidP="00ED4E21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369</w:t>
      </w:r>
    </w:p>
    <w:p w:rsidR="00ED4E21" w:rsidRPr="003C5A76" w:rsidRDefault="00ED4E21" w:rsidP="00ED4E21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>
        <w:rPr>
          <w:rFonts w:ascii="Arial" w:hAnsi="Arial" w:cs="Arial"/>
          <w:b/>
          <w:bCs/>
          <w:u w:val="single"/>
        </w:rPr>
        <w:t>19/02/2016</w:t>
      </w:r>
    </w:p>
    <w:p w:rsidR="00ED4E21" w:rsidRPr="00C357BA" w:rsidRDefault="00ED4E21" w:rsidP="00ED4E2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>
        <w:rPr>
          <w:rFonts w:ascii="Arial" w:hAnsi="Arial" w:cs="Arial"/>
          <w:b/>
          <w:bCs/>
          <w:u w:val="single"/>
        </w:rPr>
        <w:t>2 OF 2016</w:t>
      </w:r>
      <w:r w:rsidRPr="003C5A76">
        <w:rPr>
          <w:rFonts w:ascii="Arial" w:hAnsi="Arial" w:cs="Arial"/>
          <w:b/>
          <w:bCs/>
          <w:u w:val="single"/>
        </w:rPr>
        <w:t>)</w:t>
      </w:r>
    </w:p>
    <w:p w:rsidR="00ED4E21" w:rsidRPr="007475E6" w:rsidRDefault="00ED4E21" w:rsidP="00ED4E21">
      <w:pPr>
        <w:spacing w:before="100" w:beforeAutospacing="1" w:after="100" w:afterAutospacing="1" w:line="360" w:lineRule="auto"/>
        <w:ind w:left="709" w:hanging="698"/>
        <w:jc w:val="both"/>
        <w:outlineLvl w:val="0"/>
        <w:rPr>
          <w:rFonts w:ascii="Arial" w:hAnsi="Arial" w:cs="Arial"/>
          <w:b/>
          <w:lang w:val="en-ZA"/>
        </w:rPr>
      </w:pPr>
      <w:r w:rsidRPr="007475E6">
        <w:rPr>
          <w:rFonts w:ascii="Arial" w:hAnsi="Arial" w:cs="Arial"/>
          <w:b/>
          <w:lang w:val="en-ZA"/>
        </w:rPr>
        <w:t>Mr R W T Chance (DA) to ask the Minister of Higher Education and Training:</w:t>
      </w:r>
    </w:p>
    <w:p w:rsidR="00ED4E21" w:rsidRDefault="00ED4E21" w:rsidP="00ED4E2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7475E6">
        <w:rPr>
          <w:rFonts w:ascii="Arial" w:hAnsi="Arial" w:cs="Arial"/>
          <w:lang w:val="en-ZA"/>
        </w:rPr>
        <w:t>With reference to President Jacob G Zuma’s undertaking in his State of the Nation Address delivered on 12 February 2015, that the Government will set aside 30% of appropriate categories of state procurement for purchasing from Small, Medium and Micro-sized Enterprises (SMMEs), co-operatives, as well as township and rural enterprises, what percentage of the total procurement of (a) his department and (b) every entity reporting to him went to (i) SMMEs and (ii) co-operatives from 1 April 2015 up to the latest specified date for which information is available?</w:t>
      </w:r>
    </w:p>
    <w:p w:rsidR="00ED4E21" w:rsidRPr="007475E6" w:rsidRDefault="00ED4E21" w:rsidP="00ED4E21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  <w:r w:rsidRPr="007475E6">
        <w:rPr>
          <w:rFonts w:ascii="Arial" w:hAnsi="Arial" w:cs="Arial"/>
          <w:b/>
          <w:lang w:val="en-ZA"/>
        </w:rPr>
        <w:t>NW381E</w:t>
      </w:r>
    </w:p>
    <w:p w:rsidR="00ED4E21" w:rsidRPr="007475E6" w:rsidRDefault="00ED4E21" w:rsidP="00ED4E2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ED4E21" w:rsidRPr="00CC0CBD" w:rsidRDefault="00ED4E21" w:rsidP="00C5451E">
      <w:pPr>
        <w:spacing w:after="0"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</w:rPr>
        <w:br w:type="page"/>
      </w:r>
      <w:r w:rsidRPr="00F61F23">
        <w:rPr>
          <w:rFonts w:ascii="Arial" w:hAnsi="Arial" w:cs="Arial"/>
          <w:b/>
        </w:rPr>
        <w:lastRenderedPageBreak/>
        <w:t>REPLY:</w:t>
      </w:r>
    </w:p>
    <w:p w:rsidR="00DC10C5" w:rsidRDefault="00DC10C5" w:rsidP="00C5451E">
      <w:pPr>
        <w:spacing w:after="0" w:line="360" w:lineRule="auto"/>
        <w:jc w:val="both"/>
        <w:rPr>
          <w:rFonts w:ascii="Arial" w:hAnsi="Arial" w:cs="Arial"/>
          <w:lang w:val="en-ZA"/>
        </w:rPr>
      </w:pPr>
    </w:p>
    <w:p w:rsidR="00720D07" w:rsidRPr="00720D07" w:rsidRDefault="00ED4E21" w:rsidP="00720D0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lang w:val="en-ZA"/>
        </w:rPr>
      </w:pPr>
      <w:r w:rsidRPr="00CD2B01">
        <w:rPr>
          <w:rFonts w:ascii="Arial" w:hAnsi="Arial" w:cs="Arial"/>
          <w:lang w:val="en-ZA"/>
        </w:rPr>
        <w:t xml:space="preserve">The public sector procurement system, </w:t>
      </w:r>
      <w:r w:rsidR="00DC10C5" w:rsidRPr="00CD2B01">
        <w:rPr>
          <w:rFonts w:ascii="Arial" w:hAnsi="Arial" w:cs="Arial"/>
          <w:lang w:val="en-ZA"/>
        </w:rPr>
        <w:t>Local Government Information System (</w:t>
      </w:r>
      <w:r w:rsidRPr="00CD2B01">
        <w:rPr>
          <w:rFonts w:ascii="Arial" w:hAnsi="Arial" w:cs="Arial"/>
          <w:lang w:val="en-ZA"/>
        </w:rPr>
        <w:t>LOGIS</w:t>
      </w:r>
      <w:r w:rsidR="00DC10C5" w:rsidRPr="00CD2B01">
        <w:rPr>
          <w:rFonts w:ascii="Arial" w:hAnsi="Arial" w:cs="Arial"/>
          <w:lang w:val="en-ZA"/>
        </w:rPr>
        <w:t>)</w:t>
      </w:r>
      <w:r w:rsidR="00EA5EF7">
        <w:rPr>
          <w:rFonts w:ascii="Arial" w:hAnsi="Arial" w:cs="Arial"/>
          <w:lang w:val="en-ZA"/>
        </w:rPr>
        <w:t xml:space="preserve"> and </w:t>
      </w:r>
      <w:r w:rsidRPr="00CD2B01">
        <w:rPr>
          <w:rFonts w:ascii="Arial" w:hAnsi="Arial" w:cs="Arial"/>
          <w:lang w:val="en-ZA"/>
        </w:rPr>
        <w:t>Standard Bid Documents, as utilised by the Department do</w:t>
      </w:r>
      <w:r w:rsidR="00EA5EF7">
        <w:rPr>
          <w:rFonts w:ascii="Arial" w:hAnsi="Arial" w:cs="Arial"/>
          <w:lang w:val="en-ZA"/>
        </w:rPr>
        <w:t>es</w:t>
      </w:r>
      <w:r w:rsidRPr="00CD2B01">
        <w:rPr>
          <w:rFonts w:ascii="Arial" w:hAnsi="Arial" w:cs="Arial"/>
          <w:lang w:val="en-ZA"/>
        </w:rPr>
        <w:t xml:space="preserve"> not make provision to identify information on </w:t>
      </w:r>
      <w:r w:rsidR="00216084" w:rsidRPr="007475E6">
        <w:rPr>
          <w:rFonts w:ascii="Arial" w:hAnsi="Arial" w:cs="Arial"/>
          <w:lang w:val="en-ZA"/>
        </w:rPr>
        <w:t xml:space="preserve">Small, Medium and Micro-sized Enterprises </w:t>
      </w:r>
      <w:r w:rsidR="00216084">
        <w:rPr>
          <w:rFonts w:ascii="Arial" w:hAnsi="Arial" w:cs="Arial"/>
          <w:lang w:val="en-ZA"/>
        </w:rPr>
        <w:t>(</w:t>
      </w:r>
      <w:r w:rsidRPr="00CD2B01">
        <w:rPr>
          <w:rFonts w:ascii="Arial" w:hAnsi="Arial" w:cs="Arial"/>
          <w:lang w:val="en-ZA"/>
        </w:rPr>
        <w:t>SMME</w:t>
      </w:r>
      <w:r w:rsidR="004072EC">
        <w:rPr>
          <w:rFonts w:ascii="Arial" w:hAnsi="Arial" w:cs="Arial"/>
          <w:lang w:val="en-ZA"/>
        </w:rPr>
        <w:t>s</w:t>
      </w:r>
      <w:r w:rsidR="00216084">
        <w:rPr>
          <w:rFonts w:ascii="Arial" w:hAnsi="Arial" w:cs="Arial"/>
          <w:lang w:val="en-ZA"/>
        </w:rPr>
        <w:t>)</w:t>
      </w:r>
      <w:r w:rsidRPr="00CD2B01">
        <w:rPr>
          <w:rFonts w:ascii="Arial" w:hAnsi="Arial" w:cs="Arial"/>
          <w:lang w:val="en-ZA"/>
        </w:rPr>
        <w:t xml:space="preserve">, cooperatives, </w:t>
      </w:r>
      <w:r w:rsidR="001C75C7" w:rsidRPr="007475E6">
        <w:rPr>
          <w:rFonts w:ascii="Arial" w:hAnsi="Arial" w:cs="Arial"/>
          <w:lang w:val="en-ZA"/>
        </w:rPr>
        <w:t>township and rural enterprises</w:t>
      </w:r>
      <w:r w:rsidRPr="00CD2B01">
        <w:rPr>
          <w:rFonts w:ascii="Arial" w:hAnsi="Arial" w:cs="Arial"/>
          <w:lang w:val="en-ZA"/>
        </w:rPr>
        <w:t xml:space="preserve">. It is therefore not possible for the Department </w:t>
      </w:r>
      <w:r w:rsidR="006717DA">
        <w:rPr>
          <w:rFonts w:ascii="Arial" w:hAnsi="Arial" w:cs="Arial"/>
          <w:lang w:val="en-ZA"/>
        </w:rPr>
        <w:t xml:space="preserve">and National Skills Fund </w:t>
      </w:r>
      <w:r w:rsidR="00EA5EF7">
        <w:rPr>
          <w:rFonts w:ascii="Arial" w:hAnsi="Arial" w:cs="Arial"/>
          <w:lang w:val="en-ZA"/>
        </w:rPr>
        <w:t xml:space="preserve">at this stage </w:t>
      </w:r>
      <w:r w:rsidRPr="00CD2B01">
        <w:rPr>
          <w:rFonts w:ascii="Arial" w:hAnsi="Arial" w:cs="Arial"/>
          <w:lang w:val="en-ZA"/>
        </w:rPr>
        <w:t>to provide the information as requested</w:t>
      </w:r>
      <w:r w:rsidR="00022DAB">
        <w:rPr>
          <w:rFonts w:ascii="Arial" w:hAnsi="Arial" w:cs="Arial"/>
          <w:lang w:val="en-ZA"/>
        </w:rPr>
        <w:t xml:space="preserve"> above</w:t>
      </w:r>
      <w:r w:rsidRPr="00CD2B01">
        <w:rPr>
          <w:rFonts w:ascii="Arial" w:hAnsi="Arial" w:cs="Arial"/>
          <w:lang w:val="en-ZA"/>
        </w:rPr>
        <w:t>.</w:t>
      </w:r>
    </w:p>
    <w:p w:rsidR="001C75C7" w:rsidRPr="00720D07" w:rsidRDefault="00720D07" w:rsidP="00720D07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At the time of compilation, twenty of the </w:t>
      </w:r>
      <w:r w:rsidRPr="006717DA">
        <w:rPr>
          <w:rFonts w:ascii="Arial" w:hAnsi="Arial" w:cs="Arial"/>
          <w:lang w:val="en-ZA"/>
        </w:rPr>
        <w:t>twenty-</w:t>
      </w:r>
      <w:r w:rsidR="006717DA">
        <w:rPr>
          <w:rFonts w:ascii="Arial" w:hAnsi="Arial" w:cs="Arial"/>
          <w:lang w:val="en-ZA"/>
        </w:rPr>
        <w:t>five</w:t>
      </w:r>
      <w:r>
        <w:rPr>
          <w:rFonts w:ascii="Arial" w:hAnsi="Arial" w:cs="Arial"/>
          <w:lang w:val="en-ZA"/>
        </w:rPr>
        <w:t xml:space="preserve"> entities responded to the request for information.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977"/>
        <w:gridCol w:w="2977"/>
      </w:tblGrid>
      <w:tr w:rsidR="00C5451E" w:rsidTr="00A51EFD">
        <w:trPr>
          <w:tblHeader/>
        </w:trPr>
        <w:tc>
          <w:tcPr>
            <w:tcW w:w="3260" w:type="dxa"/>
            <w:shd w:val="clear" w:color="auto" w:fill="auto"/>
            <w:vAlign w:val="center"/>
          </w:tcPr>
          <w:p w:rsidR="00C5451E" w:rsidRPr="00F50E8A" w:rsidRDefault="001C75C7" w:rsidP="007B2CB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F50E8A">
              <w:rPr>
                <w:rFonts w:ascii="Arial" w:hAnsi="Arial" w:cs="Arial"/>
                <w:b/>
                <w:lang w:val="en-ZA"/>
              </w:rPr>
              <w:t>Public Entity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51E" w:rsidRPr="00F50E8A" w:rsidRDefault="001C75C7" w:rsidP="00EA5EF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</w:t>
            </w:r>
            <w:r w:rsidR="00C5451E" w:rsidRPr="00F50E8A">
              <w:rPr>
                <w:rFonts w:ascii="Arial" w:hAnsi="Arial" w:cs="Arial"/>
                <w:b/>
                <w:lang w:val="en-ZA"/>
              </w:rPr>
              <w:t xml:space="preserve">ercentage of the total procurement </w:t>
            </w:r>
            <w:r w:rsidR="004072EC">
              <w:rPr>
                <w:rFonts w:ascii="Arial" w:hAnsi="Arial" w:cs="Arial"/>
                <w:b/>
                <w:lang w:val="en-ZA"/>
              </w:rPr>
              <w:t xml:space="preserve">that </w:t>
            </w:r>
            <w:r w:rsidR="00C5451E" w:rsidRPr="00F50E8A">
              <w:rPr>
                <w:rFonts w:ascii="Arial" w:hAnsi="Arial" w:cs="Arial"/>
                <w:b/>
                <w:lang w:val="en-ZA"/>
              </w:rPr>
              <w:t xml:space="preserve">went to SMMEs from </w:t>
            </w:r>
            <w:r w:rsidR="00386234">
              <w:rPr>
                <w:rFonts w:ascii="Arial" w:hAnsi="Arial" w:cs="Arial"/>
                <w:b/>
                <w:lang w:val="en-ZA"/>
              </w:rPr>
              <w:t xml:space="preserve">               </w:t>
            </w:r>
            <w:r w:rsidR="00C5451E" w:rsidRPr="00F50E8A">
              <w:rPr>
                <w:rFonts w:ascii="Arial" w:hAnsi="Arial" w:cs="Arial"/>
                <w:b/>
                <w:lang w:val="en-ZA"/>
              </w:rPr>
              <w:t>1 April 2015 to 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51E" w:rsidRPr="00F50E8A" w:rsidRDefault="00C5451E" w:rsidP="00EA5EF7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b/>
                <w:lang w:val="en-ZA"/>
              </w:rPr>
            </w:pPr>
            <w:r w:rsidRPr="00F50E8A">
              <w:rPr>
                <w:rFonts w:ascii="Arial" w:hAnsi="Arial" w:cs="Arial"/>
                <w:b/>
                <w:lang w:val="en-ZA"/>
              </w:rPr>
              <w:t xml:space="preserve">Percentage of the total procurement </w:t>
            </w:r>
            <w:r w:rsidR="004072EC">
              <w:rPr>
                <w:rFonts w:ascii="Arial" w:hAnsi="Arial" w:cs="Arial"/>
                <w:b/>
                <w:lang w:val="en-ZA"/>
              </w:rPr>
              <w:t xml:space="preserve">that </w:t>
            </w:r>
            <w:r w:rsidRPr="00F50E8A">
              <w:rPr>
                <w:rFonts w:ascii="Arial" w:hAnsi="Arial" w:cs="Arial"/>
                <w:b/>
                <w:lang w:val="en-ZA"/>
              </w:rPr>
              <w:t xml:space="preserve">went to </w:t>
            </w:r>
            <w:r w:rsidR="00386234">
              <w:rPr>
                <w:rFonts w:ascii="Arial" w:hAnsi="Arial" w:cs="Arial"/>
                <w:b/>
                <w:lang w:val="en-ZA"/>
              </w:rPr>
              <w:t>c</w:t>
            </w:r>
            <w:r w:rsidRPr="00F50E8A">
              <w:rPr>
                <w:rFonts w:ascii="Arial" w:hAnsi="Arial" w:cs="Arial"/>
                <w:b/>
                <w:lang w:val="en-ZA"/>
              </w:rPr>
              <w:t xml:space="preserve">o-operatives from </w:t>
            </w:r>
            <w:r w:rsidR="00386234">
              <w:rPr>
                <w:rFonts w:ascii="Arial" w:hAnsi="Arial" w:cs="Arial"/>
                <w:b/>
                <w:lang w:val="en-ZA"/>
              </w:rPr>
              <w:t xml:space="preserve">    </w:t>
            </w:r>
            <w:r w:rsidRPr="00F50E8A">
              <w:rPr>
                <w:rFonts w:ascii="Arial" w:hAnsi="Arial" w:cs="Arial"/>
                <w:b/>
                <w:lang w:val="en-ZA"/>
              </w:rPr>
              <w:t xml:space="preserve">1 April </w:t>
            </w:r>
            <w:r w:rsidR="00386234">
              <w:rPr>
                <w:rFonts w:ascii="Arial" w:hAnsi="Arial" w:cs="Arial"/>
                <w:b/>
                <w:lang w:val="en-ZA"/>
              </w:rPr>
              <w:t xml:space="preserve">2015 </w:t>
            </w:r>
            <w:r w:rsidRPr="00F50E8A">
              <w:rPr>
                <w:rFonts w:ascii="Arial" w:hAnsi="Arial" w:cs="Arial"/>
                <w:b/>
                <w:lang w:val="en-ZA"/>
              </w:rPr>
              <w:t>to date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Pr="00F50E8A" w:rsidRDefault="00CF2E28" w:rsidP="00CF2E2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Agricultural Sector Educati</w:t>
            </w:r>
            <w:r w:rsidR="003A022D">
              <w:rPr>
                <w:rFonts w:ascii="Arial" w:hAnsi="Arial" w:cs="Arial"/>
                <w:lang w:val="en-ZA"/>
              </w:rPr>
              <w:t>on and Training Authority (AGRISETA)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CF2E28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39%</w:t>
            </w:r>
          </w:p>
        </w:tc>
        <w:tc>
          <w:tcPr>
            <w:tcW w:w="2977" w:type="dxa"/>
            <w:shd w:val="clear" w:color="auto" w:fill="auto"/>
          </w:tcPr>
          <w:p w:rsidR="00CF2E28" w:rsidRDefault="00CF2E28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  <w:r w:rsidR="003A022D">
              <w:rPr>
                <w:rFonts w:ascii="Arial" w:hAnsi="Arial" w:cs="Arial"/>
                <w:lang w:val="en-ZA"/>
              </w:rPr>
              <w:t>%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Pr="00F50E8A" w:rsidRDefault="00CF2E28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Banking SETA</w:t>
            </w:r>
            <w:r w:rsidR="00A51EFD">
              <w:rPr>
                <w:rFonts w:ascii="Arial" w:hAnsi="Arial" w:cs="Arial"/>
                <w:lang w:val="en-ZA"/>
              </w:rPr>
              <w:t xml:space="preserve"> (BANKSETA)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A51EF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17%</w:t>
            </w:r>
          </w:p>
        </w:tc>
        <w:tc>
          <w:tcPr>
            <w:tcW w:w="2977" w:type="dxa"/>
            <w:shd w:val="clear" w:color="auto" w:fill="auto"/>
          </w:tcPr>
          <w:p w:rsidR="00CF2E28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Culture, Arts, Tourism, Hospitality, Sports SETA (CATHSSETA)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Construction Education and Training Authority (CETA)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72</w:t>
            </w:r>
            <w:r w:rsidR="00467A63"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23</w:t>
            </w:r>
            <w:r w:rsidR="00467A63">
              <w:rPr>
                <w:rFonts w:ascii="Arial" w:hAnsi="Arial" w:cs="Arial"/>
                <w:lang w:val="en-ZA"/>
              </w:rPr>
              <w:t>%</w:t>
            </w:r>
          </w:p>
        </w:tc>
      </w:tr>
      <w:tr w:rsidR="00CF2E28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8" w:rsidRPr="00F50E8A" w:rsidRDefault="00CF2E28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C</w:t>
            </w:r>
            <w:r>
              <w:rPr>
                <w:rFonts w:ascii="Arial" w:hAnsi="Arial" w:cs="Arial"/>
                <w:lang w:val="en-ZA"/>
              </w:rPr>
              <w:t xml:space="preserve">hemical </w:t>
            </w:r>
            <w:r w:rsidRPr="00F50E8A">
              <w:rPr>
                <w:rFonts w:ascii="Arial" w:hAnsi="Arial" w:cs="Arial"/>
                <w:lang w:val="en-ZA"/>
              </w:rPr>
              <w:t>I</w:t>
            </w:r>
            <w:r>
              <w:rPr>
                <w:rFonts w:ascii="Arial" w:hAnsi="Arial" w:cs="Arial"/>
                <w:lang w:val="en-ZA"/>
              </w:rPr>
              <w:t xml:space="preserve">ndustries </w:t>
            </w:r>
            <w:r w:rsidRPr="00F50E8A">
              <w:rPr>
                <w:rFonts w:ascii="Arial" w:hAnsi="Arial" w:cs="Arial"/>
                <w:lang w:val="en-ZA"/>
              </w:rPr>
              <w:t>E</w:t>
            </w:r>
            <w:r>
              <w:rPr>
                <w:rFonts w:ascii="Arial" w:hAnsi="Arial" w:cs="Arial"/>
                <w:lang w:val="en-ZA"/>
              </w:rPr>
              <w:t xml:space="preserve">ducation and </w:t>
            </w:r>
            <w:r w:rsidRPr="00F50E8A">
              <w:rPr>
                <w:rFonts w:ascii="Arial" w:hAnsi="Arial" w:cs="Arial"/>
                <w:lang w:val="en-ZA"/>
              </w:rPr>
              <w:t>T</w:t>
            </w:r>
            <w:r>
              <w:rPr>
                <w:rFonts w:ascii="Arial" w:hAnsi="Arial" w:cs="Arial"/>
                <w:lang w:val="en-ZA"/>
              </w:rPr>
              <w:t xml:space="preserve">raining </w:t>
            </w:r>
            <w:r w:rsidRPr="00F50E8A">
              <w:rPr>
                <w:rFonts w:ascii="Arial" w:hAnsi="Arial" w:cs="Arial"/>
                <w:lang w:val="en-ZA"/>
              </w:rPr>
              <w:t>A</w:t>
            </w:r>
            <w:r>
              <w:rPr>
                <w:rFonts w:ascii="Arial" w:hAnsi="Arial" w:cs="Arial"/>
                <w:lang w:val="en-ZA"/>
              </w:rPr>
              <w:t>uthority</w:t>
            </w:r>
            <w:r w:rsidR="00A51EFD">
              <w:rPr>
                <w:rFonts w:ascii="Arial" w:hAnsi="Arial" w:cs="Arial"/>
                <w:lang w:val="en-ZA"/>
              </w:rPr>
              <w:t xml:space="preserve"> (CHIETA)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8" w:rsidRPr="00F50E8A" w:rsidRDefault="00CF2E28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90%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8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Default="00CF2E28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Council on Higher Education</w:t>
            </w:r>
            <w:r w:rsidR="00A51EFD">
              <w:rPr>
                <w:rFonts w:ascii="Arial" w:hAnsi="Arial" w:cs="Arial"/>
                <w:lang w:val="en-ZA"/>
              </w:rPr>
              <w:t xml:space="preserve"> (CHE)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A51EF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58%</w:t>
            </w:r>
          </w:p>
        </w:tc>
        <w:tc>
          <w:tcPr>
            <w:tcW w:w="2977" w:type="dxa"/>
            <w:shd w:val="clear" w:color="auto" w:fill="auto"/>
          </w:tcPr>
          <w:p w:rsidR="00CF2E28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Pr="00F50E8A" w:rsidRDefault="00C849FB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</w:t>
            </w:r>
            <w:r w:rsidR="00A51EFD">
              <w:rPr>
                <w:rFonts w:ascii="Arial" w:hAnsi="Arial" w:cs="Arial"/>
                <w:lang w:val="en-ZA"/>
              </w:rPr>
              <w:t>inance and Accounting SETA (FASSET)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31</w:t>
            </w:r>
            <w:r w:rsidR="00A51EFD"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Food and Beverages Manufacturing SETA (FOODBEV)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Health and Welfare SETA (HWSETA)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Pr="00F50E8A" w:rsidRDefault="00A51EFD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Fibre Processing and Manufacturing SETA (FP&amp;M)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A51EF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80%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CF2E28" w:rsidTr="003A022D">
        <w:tc>
          <w:tcPr>
            <w:tcW w:w="3260" w:type="dxa"/>
            <w:shd w:val="clear" w:color="auto" w:fill="auto"/>
          </w:tcPr>
          <w:p w:rsidR="00CF2E28" w:rsidRPr="00F50E8A" w:rsidRDefault="00A51EFD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lastRenderedPageBreak/>
              <w:t>Insurance SETA (INSETA)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15%</w:t>
            </w:r>
          </w:p>
        </w:tc>
        <w:tc>
          <w:tcPr>
            <w:tcW w:w="2977" w:type="dxa"/>
            <w:shd w:val="clear" w:color="auto" w:fill="auto"/>
          </w:tcPr>
          <w:p w:rsidR="00CF2E28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shd w:val="clear" w:color="auto" w:fill="auto"/>
          </w:tcPr>
          <w:p w:rsidR="00467A63" w:rsidRPr="00F50E8A" w:rsidRDefault="00467A63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Local Government SETA (LGSETA)</w:t>
            </w:r>
          </w:p>
        </w:tc>
        <w:tc>
          <w:tcPr>
            <w:tcW w:w="2977" w:type="dxa"/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28%</w:t>
            </w:r>
          </w:p>
        </w:tc>
        <w:tc>
          <w:tcPr>
            <w:tcW w:w="2977" w:type="dxa"/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shd w:val="clear" w:color="auto" w:fill="auto"/>
          </w:tcPr>
          <w:p w:rsidR="00467A63" w:rsidRPr="00F50E8A" w:rsidRDefault="00467A63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Mining Qualifications Authority (MQA)</w:t>
            </w:r>
          </w:p>
        </w:tc>
        <w:tc>
          <w:tcPr>
            <w:tcW w:w="2977" w:type="dxa"/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98%</w:t>
            </w:r>
          </w:p>
        </w:tc>
        <w:tc>
          <w:tcPr>
            <w:tcW w:w="2977" w:type="dxa"/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shd w:val="clear" w:color="auto" w:fill="auto"/>
          </w:tcPr>
          <w:p w:rsidR="00467A63" w:rsidRPr="00F50E8A" w:rsidRDefault="00467A63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National Student Financial Aid Scheme (NSFAS)</w:t>
            </w:r>
          </w:p>
        </w:tc>
        <w:tc>
          <w:tcPr>
            <w:tcW w:w="2977" w:type="dxa"/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11%</w:t>
            </w:r>
          </w:p>
        </w:tc>
        <w:tc>
          <w:tcPr>
            <w:tcW w:w="2977" w:type="dxa"/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P</w:t>
            </w:r>
            <w:r>
              <w:rPr>
                <w:rFonts w:ascii="Arial" w:hAnsi="Arial" w:cs="Arial"/>
                <w:lang w:val="en-ZA"/>
              </w:rPr>
              <w:t>ublic SETA (PSETA)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40%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Q</w:t>
            </w:r>
            <w:r>
              <w:rPr>
                <w:rFonts w:ascii="Arial" w:hAnsi="Arial" w:cs="Arial"/>
                <w:lang w:val="en-ZA"/>
              </w:rPr>
              <w:t xml:space="preserve">uality </w:t>
            </w:r>
            <w:r w:rsidRPr="00F50E8A">
              <w:rPr>
                <w:rFonts w:ascii="Arial" w:hAnsi="Arial" w:cs="Arial"/>
                <w:lang w:val="en-ZA"/>
              </w:rPr>
              <w:t>C</w:t>
            </w:r>
            <w:r>
              <w:rPr>
                <w:rFonts w:ascii="Arial" w:hAnsi="Arial" w:cs="Arial"/>
                <w:lang w:val="en-ZA"/>
              </w:rPr>
              <w:t xml:space="preserve">ouncil for </w:t>
            </w:r>
            <w:r w:rsidRPr="00F50E8A">
              <w:rPr>
                <w:rFonts w:ascii="Arial" w:hAnsi="Arial" w:cs="Arial"/>
                <w:lang w:val="en-ZA"/>
              </w:rPr>
              <w:t>T</w:t>
            </w:r>
            <w:r>
              <w:rPr>
                <w:rFonts w:ascii="Arial" w:hAnsi="Arial" w:cs="Arial"/>
                <w:lang w:val="en-ZA"/>
              </w:rPr>
              <w:t xml:space="preserve">rades and </w:t>
            </w:r>
            <w:r w:rsidRPr="00F50E8A">
              <w:rPr>
                <w:rFonts w:ascii="Arial" w:hAnsi="Arial" w:cs="Arial"/>
                <w:lang w:val="en-ZA"/>
              </w:rPr>
              <w:t>O</w:t>
            </w:r>
            <w:r>
              <w:rPr>
                <w:rFonts w:ascii="Arial" w:hAnsi="Arial" w:cs="Arial"/>
                <w:lang w:val="en-ZA"/>
              </w:rPr>
              <w:t>ccupations (QCTO)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59%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South African Qualifications Authority (SAQA)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S</w:t>
            </w:r>
            <w:r>
              <w:rPr>
                <w:rFonts w:ascii="Arial" w:hAnsi="Arial" w:cs="Arial"/>
                <w:lang w:val="en-ZA"/>
              </w:rPr>
              <w:t>ervices SETA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57</w:t>
            </w:r>
            <w:r w:rsidR="00467A63" w:rsidRPr="00F50E8A"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shd w:val="clear" w:color="auto" w:fill="auto"/>
          </w:tcPr>
          <w:p w:rsidR="00467A63" w:rsidRPr="00F50E8A" w:rsidRDefault="00467A63" w:rsidP="00EA5EF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Transport Education and Training Authority (TETA)</w:t>
            </w:r>
          </w:p>
        </w:tc>
        <w:tc>
          <w:tcPr>
            <w:tcW w:w="2977" w:type="dxa"/>
            <w:shd w:val="clear" w:color="auto" w:fill="auto"/>
          </w:tcPr>
          <w:p w:rsidR="00467A63" w:rsidRPr="00F50E8A" w:rsidRDefault="00467A63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70%</w:t>
            </w:r>
          </w:p>
        </w:tc>
        <w:tc>
          <w:tcPr>
            <w:tcW w:w="2977" w:type="dxa"/>
            <w:shd w:val="clear" w:color="auto" w:fill="auto"/>
          </w:tcPr>
          <w:p w:rsidR="00467A63" w:rsidRPr="00467A63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  <w:tr w:rsidR="00467A63" w:rsidTr="003A022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467A63" w:rsidP="004928E9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lang w:val="en-ZA"/>
              </w:rPr>
            </w:pPr>
            <w:r w:rsidRPr="00F50E8A">
              <w:rPr>
                <w:rFonts w:ascii="Arial" w:hAnsi="Arial" w:cs="Arial"/>
                <w:lang w:val="en-ZA"/>
              </w:rPr>
              <w:t>W</w:t>
            </w:r>
            <w:r>
              <w:rPr>
                <w:rFonts w:ascii="Arial" w:hAnsi="Arial" w:cs="Arial"/>
                <w:lang w:val="en-ZA"/>
              </w:rPr>
              <w:t xml:space="preserve">holesale and </w:t>
            </w:r>
            <w:r w:rsidRPr="00F50E8A">
              <w:rPr>
                <w:rFonts w:ascii="Arial" w:hAnsi="Arial" w:cs="Arial"/>
                <w:lang w:val="en-ZA"/>
              </w:rPr>
              <w:t>R</w:t>
            </w:r>
            <w:r>
              <w:rPr>
                <w:rFonts w:ascii="Arial" w:hAnsi="Arial" w:cs="Arial"/>
                <w:lang w:val="en-ZA"/>
              </w:rPr>
              <w:t xml:space="preserve">etail </w:t>
            </w:r>
            <w:r w:rsidRPr="00F50E8A">
              <w:rPr>
                <w:rFonts w:ascii="Arial" w:hAnsi="Arial" w:cs="Arial"/>
                <w:lang w:val="en-ZA"/>
              </w:rPr>
              <w:t>SETA</w:t>
            </w:r>
            <w:r>
              <w:rPr>
                <w:rFonts w:ascii="Arial" w:hAnsi="Arial" w:cs="Arial"/>
                <w:lang w:val="en-ZA"/>
              </w:rPr>
              <w:t xml:space="preserve"> (W&amp;RSETA)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23</w:t>
            </w:r>
            <w:r w:rsidR="00467A63" w:rsidRPr="00F50E8A">
              <w:rPr>
                <w:rFonts w:ascii="Arial" w:hAnsi="Arial" w:cs="Arial"/>
                <w:lang w:val="en-ZA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63" w:rsidRPr="00F50E8A" w:rsidRDefault="003A022D" w:rsidP="003A022D">
            <w:pPr>
              <w:spacing w:before="60" w:after="60" w:line="24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0%</w:t>
            </w:r>
          </w:p>
        </w:tc>
      </w:tr>
    </w:tbl>
    <w:p w:rsidR="00C5451E" w:rsidRDefault="00C5451E" w:rsidP="00C5451E">
      <w:pPr>
        <w:spacing w:after="0" w:line="360" w:lineRule="auto"/>
        <w:jc w:val="both"/>
      </w:pPr>
    </w:p>
    <w:p w:rsidR="00C5451E" w:rsidRDefault="00C5451E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DC10C5" w:rsidP="001C75C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D4E21">
        <w:rPr>
          <w:rFonts w:ascii="Arial" w:hAnsi="Arial" w:cs="Arial"/>
        </w:rPr>
        <w:lastRenderedPageBreak/>
        <w:t>Compiler/</w:t>
      </w:r>
      <w:r w:rsidR="00ED4E21" w:rsidRPr="00B42D63">
        <w:rPr>
          <w:rFonts w:ascii="Arial" w:hAnsi="Arial" w:cs="Arial"/>
        </w:rPr>
        <w:t xml:space="preserve">contact persons: </w:t>
      </w:r>
      <w:r w:rsidR="00ED4E21">
        <w:rPr>
          <w:rFonts w:ascii="Arial" w:hAnsi="Arial" w:cs="Arial"/>
        </w:rPr>
        <w:t>M</w:t>
      </w:r>
      <w:r>
        <w:rPr>
          <w:rFonts w:ascii="Arial" w:hAnsi="Arial" w:cs="Arial"/>
        </w:rPr>
        <w:t>ess</w:t>
      </w:r>
      <w:r w:rsidR="00ED4E21">
        <w:rPr>
          <w:rFonts w:ascii="Arial" w:hAnsi="Arial" w:cs="Arial"/>
        </w:rPr>
        <w:t>r</w:t>
      </w:r>
      <w:r>
        <w:rPr>
          <w:rFonts w:ascii="Arial" w:hAnsi="Arial" w:cs="Arial"/>
        </w:rPr>
        <w:t>s</w:t>
      </w:r>
      <w:r w:rsidR="00ED4E21">
        <w:rPr>
          <w:rFonts w:ascii="Arial" w:hAnsi="Arial" w:cs="Arial"/>
        </w:rPr>
        <w:t xml:space="preserve"> T </w:t>
      </w:r>
      <w:r>
        <w:rPr>
          <w:rFonts w:ascii="Arial" w:hAnsi="Arial" w:cs="Arial"/>
        </w:rPr>
        <w:t>Tredoux and</w:t>
      </w:r>
      <w:r w:rsidR="00ED4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 Kearns</w:t>
      </w:r>
      <w:r w:rsidR="00ED4E21" w:rsidRPr="00B42D63">
        <w:rPr>
          <w:rFonts w:ascii="Arial" w:hAnsi="Arial" w:cs="Arial"/>
        </w:rPr>
        <w:t xml:space="preserve"> 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Ext: 5079 </w:t>
      </w:r>
      <w:r w:rsidR="00DC10C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6181 </w:t>
      </w: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3C5A76">
        <w:rPr>
          <w:rFonts w:ascii="Arial" w:hAnsi="Arial" w:cs="Arial"/>
        </w:rPr>
        <w:t xml:space="preserve">QUESTION </w:t>
      </w:r>
      <w:r>
        <w:rPr>
          <w:rFonts w:ascii="Arial" w:hAnsi="Arial" w:cs="Arial"/>
        </w:rPr>
        <w:t xml:space="preserve">369 </w:t>
      </w:r>
      <w:r w:rsidRPr="003C5A76">
        <w:rPr>
          <w:rFonts w:ascii="Arial" w:hAnsi="Arial" w:cs="Arial"/>
        </w:rPr>
        <w:t xml:space="preserve">APPROVED/NOT APPROVED/AMENDED 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ED4E21" w:rsidRPr="003C5A76" w:rsidRDefault="00ED4E21" w:rsidP="00ED4E21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6573E8" w:rsidRDefault="006573E8"/>
    <w:sectPr w:rsidR="006573E8" w:rsidSect="001C75C7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472"/>
    <w:multiLevelType w:val="hybridMultilevel"/>
    <w:tmpl w:val="8C2A995C"/>
    <w:lvl w:ilvl="0" w:tplc="F7A2CDEC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31CFC"/>
    <w:multiLevelType w:val="hybridMultilevel"/>
    <w:tmpl w:val="3C807F6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E03059"/>
    <w:multiLevelType w:val="hybridMultilevel"/>
    <w:tmpl w:val="0840F63E"/>
    <w:lvl w:ilvl="0" w:tplc="DD50C672">
      <w:start w:val="1"/>
      <w:numFmt w:val="lowerRoman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E21"/>
    <w:rsid w:val="00022DAB"/>
    <w:rsid w:val="000E50CA"/>
    <w:rsid w:val="001C75C7"/>
    <w:rsid w:val="00216084"/>
    <w:rsid w:val="002F213A"/>
    <w:rsid w:val="00386234"/>
    <w:rsid w:val="003A022D"/>
    <w:rsid w:val="004072EC"/>
    <w:rsid w:val="00467A63"/>
    <w:rsid w:val="004928E9"/>
    <w:rsid w:val="006573E8"/>
    <w:rsid w:val="006717DA"/>
    <w:rsid w:val="00720D07"/>
    <w:rsid w:val="007B2CB7"/>
    <w:rsid w:val="00A51EFD"/>
    <w:rsid w:val="00C5451E"/>
    <w:rsid w:val="00C849FB"/>
    <w:rsid w:val="00CD2B01"/>
    <w:rsid w:val="00CF2E28"/>
    <w:rsid w:val="00D248B3"/>
    <w:rsid w:val="00DC10C5"/>
    <w:rsid w:val="00EA5EF7"/>
    <w:rsid w:val="00EB7D17"/>
    <w:rsid w:val="00ED4E21"/>
    <w:rsid w:val="00ED5CEE"/>
    <w:rsid w:val="00F50E8A"/>
    <w:rsid w:val="00F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1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D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4E21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E2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5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Proline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Badenhorst.C</dc:creator>
  <cp:lastModifiedBy>PUMZA</cp:lastModifiedBy>
  <cp:revision>2</cp:revision>
  <cp:lastPrinted>2016-03-15T13:31:00Z</cp:lastPrinted>
  <dcterms:created xsi:type="dcterms:W3CDTF">2016-04-26T13:17:00Z</dcterms:created>
  <dcterms:modified xsi:type="dcterms:W3CDTF">2016-04-26T13:17:00Z</dcterms:modified>
</cp:coreProperties>
</file>