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6E2" w:rsidRDefault="00C846E2" w:rsidP="00C846E2">
      <w:pPr>
        <w:tabs>
          <w:tab w:val="left" w:pos="432"/>
          <w:tab w:val="left" w:pos="864"/>
        </w:tabs>
        <w:spacing w:line="276" w:lineRule="auto"/>
        <w:jc w:val="center"/>
        <w:rPr>
          <w:rFonts w:ascii="Arial" w:hAnsi="Arial" w:cs="Arial"/>
          <w:b/>
          <w:sz w:val="22"/>
          <w:szCs w:val="22"/>
        </w:rPr>
      </w:pPr>
      <w:bookmarkStart w:id="0" w:name="_GoBack"/>
      <w:bookmarkEnd w:id="0"/>
      <w:r>
        <w:rPr>
          <w:rFonts w:ascii="Arial" w:hAnsi="Arial" w:cs="Arial"/>
          <w:b/>
          <w:sz w:val="22"/>
          <w:szCs w:val="22"/>
        </w:rPr>
        <w:t>NATIONAL ASSEMBLY</w:t>
      </w:r>
    </w:p>
    <w:p w:rsidR="00C846E2" w:rsidRDefault="00C846E2" w:rsidP="00C846E2">
      <w:pPr>
        <w:tabs>
          <w:tab w:val="left" w:pos="432"/>
          <w:tab w:val="left" w:pos="864"/>
        </w:tabs>
        <w:spacing w:line="276" w:lineRule="auto"/>
        <w:jc w:val="center"/>
        <w:rPr>
          <w:rFonts w:ascii="Arial" w:hAnsi="Arial" w:cs="Arial"/>
          <w:b/>
          <w:sz w:val="22"/>
          <w:szCs w:val="22"/>
        </w:rPr>
      </w:pPr>
      <w:r>
        <w:rPr>
          <w:rFonts w:ascii="Arial" w:hAnsi="Arial" w:cs="Arial"/>
          <w:b/>
          <w:sz w:val="22"/>
          <w:szCs w:val="22"/>
        </w:rPr>
        <w:t>QUESTION FOR WRITTEN REPLY</w:t>
      </w:r>
    </w:p>
    <w:p w:rsidR="00C846E2" w:rsidRDefault="00C846E2" w:rsidP="00C846E2">
      <w:pPr>
        <w:tabs>
          <w:tab w:val="left" w:pos="432"/>
          <w:tab w:val="left" w:pos="864"/>
        </w:tabs>
        <w:spacing w:line="276" w:lineRule="auto"/>
        <w:jc w:val="center"/>
        <w:rPr>
          <w:rFonts w:ascii="Arial" w:hAnsi="Arial" w:cs="Arial"/>
          <w:b/>
          <w:sz w:val="22"/>
          <w:szCs w:val="22"/>
        </w:rPr>
      </w:pPr>
      <w:r>
        <w:rPr>
          <w:rFonts w:ascii="Arial" w:hAnsi="Arial" w:cs="Arial"/>
          <w:b/>
          <w:sz w:val="22"/>
          <w:szCs w:val="22"/>
        </w:rPr>
        <w:t>QUESTION NUMBER: 3676 [</w:t>
      </w:r>
      <w:r>
        <w:rPr>
          <w:rFonts w:ascii="Arial" w:hAnsi="Arial" w:cs="Arial"/>
          <w:b/>
          <w:sz w:val="22"/>
          <w:szCs w:val="22"/>
          <w:lang w:val="en-ZA"/>
        </w:rPr>
        <w:t>NW4248E</w:t>
      </w:r>
      <w:r>
        <w:rPr>
          <w:rFonts w:ascii="Arial" w:hAnsi="Arial" w:cs="Arial"/>
          <w:b/>
          <w:sz w:val="22"/>
          <w:szCs w:val="22"/>
        </w:rPr>
        <w:t>]</w:t>
      </w:r>
    </w:p>
    <w:p w:rsidR="00C846E2" w:rsidRDefault="00C846E2" w:rsidP="00C846E2">
      <w:pPr>
        <w:tabs>
          <w:tab w:val="left" w:pos="432"/>
          <w:tab w:val="left" w:pos="864"/>
        </w:tabs>
        <w:spacing w:line="276" w:lineRule="auto"/>
        <w:jc w:val="center"/>
        <w:rPr>
          <w:rFonts w:ascii="Arial" w:hAnsi="Arial" w:cs="Arial"/>
          <w:b/>
          <w:sz w:val="22"/>
          <w:szCs w:val="22"/>
        </w:rPr>
      </w:pPr>
      <w:r>
        <w:rPr>
          <w:rFonts w:ascii="Arial" w:hAnsi="Arial" w:cs="Arial"/>
          <w:b/>
          <w:sz w:val="22"/>
          <w:szCs w:val="22"/>
        </w:rPr>
        <w:t>DATE OF PUBLICATION: 30 NOVEMBER 2018</w:t>
      </w:r>
    </w:p>
    <w:p w:rsidR="00C846E2" w:rsidRDefault="00C846E2" w:rsidP="00C846E2">
      <w:pPr>
        <w:pStyle w:val="BodyTextIndent"/>
        <w:spacing w:line="276" w:lineRule="auto"/>
        <w:ind w:left="0" w:firstLine="0"/>
        <w:rPr>
          <w:rFonts w:ascii="Arial" w:hAnsi="Arial" w:cs="Arial"/>
          <w:b/>
          <w:sz w:val="22"/>
          <w:szCs w:val="22"/>
        </w:rPr>
      </w:pPr>
    </w:p>
    <w:p w:rsidR="00C846E2" w:rsidRDefault="00C846E2" w:rsidP="00C846E2">
      <w:pPr>
        <w:spacing w:before="100" w:beforeAutospacing="1" w:after="100" w:afterAutospacing="1" w:line="276" w:lineRule="auto"/>
        <w:ind w:left="851" w:hanging="851"/>
        <w:rPr>
          <w:rFonts w:ascii="Arial" w:eastAsia="Calibri" w:hAnsi="Arial" w:cs="Arial"/>
          <w:b/>
          <w:sz w:val="22"/>
          <w:szCs w:val="22"/>
          <w:lang w:val="af-ZA"/>
        </w:rPr>
      </w:pPr>
      <w:r>
        <w:rPr>
          <w:rFonts w:ascii="Arial" w:eastAsia="Calibri" w:hAnsi="Arial" w:cs="Arial"/>
          <w:b/>
          <w:sz w:val="22"/>
          <w:szCs w:val="22"/>
          <w:lang w:val="en-ZA"/>
        </w:rPr>
        <w:t>3676.</w:t>
      </w:r>
      <w:r>
        <w:rPr>
          <w:rFonts w:ascii="Arial" w:eastAsia="Calibri" w:hAnsi="Arial" w:cs="Arial"/>
          <w:b/>
          <w:sz w:val="22"/>
          <w:szCs w:val="22"/>
          <w:lang w:val="en-ZA"/>
        </w:rPr>
        <w:tab/>
      </w:r>
      <w:r>
        <w:rPr>
          <w:rFonts w:ascii="Arial" w:eastAsia="Calibri" w:hAnsi="Arial" w:cs="Arial"/>
          <w:b/>
          <w:sz w:val="22"/>
          <w:szCs w:val="22"/>
          <w:lang w:val="af-ZA"/>
        </w:rPr>
        <w:t>Mr W W Wessels (FF Plus) to ask die Minister of Finance:</w:t>
      </w:r>
    </w:p>
    <w:p w:rsidR="00C846E2" w:rsidRDefault="00C846E2" w:rsidP="00C846E2">
      <w:pPr>
        <w:spacing w:before="100" w:beforeAutospacing="1" w:after="100" w:afterAutospacing="1" w:line="276" w:lineRule="auto"/>
        <w:ind w:left="720" w:hanging="720"/>
        <w:jc w:val="both"/>
        <w:outlineLvl w:val="0"/>
        <w:rPr>
          <w:rFonts w:ascii="Arial" w:eastAsia="Calibri" w:hAnsi="Arial" w:cs="Arial"/>
          <w:sz w:val="22"/>
          <w:szCs w:val="22"/>
          <w:lang w:val="af-ZA"/>
        </w:rPr>
      </w:pPr>
      <w:r>
        <w:rPr>
          <w:rFonts w:ascii="Arial" w:eastAsia="Calibri" w:hAnsi="Arial" w:cs="Arial"/>
          <w:sz w:val="22"/>
          <w:szCs w:val="22"/>
          <w:lang w:val="af-ZA"/>
        </w:rPr>
        <w:t>(1)</w:t>
      </w:r>
      <w:r>
        <w:rPr>
          <w:rFonts w:ascii="Arial" w:eastAsia="Calibri" w:hAnsi="Arial" w:cs="Arial"/>
          <w:sz w:val="22"/>
          <w:szCs w:val="22"/>
          <w:lang w:val="af-ZA"/>
        </w:rPr>
        <w:tab/>
        <w:t>What is the number of taxpayers who declared capital profits regarding cryptocurrency to the SA Revenue Service during the tax years 2016, 2017 and 2018;</w:t>
      </w:r>
    </w:p>
    <w:p w:rsidR="00C846E2" w:rsidRDefault="00C846E2" w:rsidP="00C846E2">
      <w:pPr>
        <w:spacing w:before="100" w:beforeAutospacing="1" w:after="100" w:afterAutospacing="1" w:line="276" w:lineRule="auto"/>
        <w:ind w:left="720" w:hanging="720"/>
        <w:jc w:val="both"/>
        <w:outlineLvl w:val="0"/>
        <w:rPr>
          <w:rFonts w:ascii="Arial" w:eastAsia="Calibri" w:hAnsi="Arial" w:cs="Arial"/>
          <w:sz w:val="22"/>
          <w:szCs w:val="22"/>
          <w:lang w:val="af-ZA"/>
        </w:rPr>
      </w:pPr>
      <w:r>
        <w:rPr>
          <w:rFonts w:ascii="Arial" w:eastAsia="Calibri" w:hAnsi="Arial" w:cs="Arial"/>
          <w:sz w:val="22"/>
          <w:szCs w:val="22"/>
          <w:lang w:val="af-ZA"/>
        </w:rPr>
        <w:t>(2)</w:t>
      </w:r>
      <w:r>
        <w:rPr>
          <w:rFonts w:ascii="Arial" w:eastAsia="Calibri" w:hAnsi="Arial" w:cs="Arial"/>
          <w:sz w:val="22"/>
          <w:szCs w:val="22"/>
          <w:lang w:val="af-ZA"/>
        </w:rPr>
        <w:tab/>
        <w:t>whether the National Treasury intends to introduce specific legislation, regulations and/or measures to (a) regulate the mining and trading of cryptocurrency in South Africa and (b) improve the levying of tax on the profits regarding cryptocurrency, as is already in place with the identification and levying of taxes on other traditional capital profits; if not, why not; if so, what are the relevant details and periods;</w:t>
      </w:r>
    </w:p>
    <w:p w:rsidR="00345279" w:rsidRDefault="00C846E2" w:rsidP="00C846E2">
      <w:pPr>
        <w:spacing w:before="100" w:beforeAutospacing="1" w:after="100" w:afterAutospacing="1" w:line="276" w:lineRule="auto"/>
        <w:jc w:val="both"/>
        <w:outlineLvl w:val="0"/>
        <w:rPr>
          <w:rFonts w:ascii="Arial" w:eastAsia="Calibri" w:hAnsi="Arial" w:cs="Arial"/>
          <w:sz w:val="22"/>
          <w:szCs w:val="22"/>
          <w:lang w:val="af-ZA"/>
        </w:rPr>
      </w:pPr>
      <w:r>
        <w:rPr>
          <w:rFonts w:ascii="Arial" w:eastAsia="Calibri" w:hAnsi="Arial" w:cs="Arial"/>
          <w:sz w:val="22"/>
          <w:szCs w:val="22"/>
          <w:lang w:val="af-ZA"/>
        </w:rPr>
        <w:t>(3)</w:t>
      </w:r>
      <w:r>
        <w:rPr>
          <w:rFonts w:ascii="Arial" w:eastAsia="Calibri" w:hAnsi="Arial" w:cs="Arial"/>
          <w:sz w:val="22"/>
          <w:szCs w:val="22"/>
          <w:lang w:val="af-ZA"/>
        </w:rPr>
        <w:tab/>
        <w:t>whether he will make a statement on the matter?</w:t>
      </w:r>
      <w:r>
        <w:rPr>
          <w:rFonts w:ascii="Arial" w:eastAsia="Calibri" w:hAnsi="Arial" w:cs="Arial"/>
          <w:sz w:val="22"/>
          <w:szCs w:val="22"/>
          <w:lang w:val="af-ZA"/>
        </w:rPr>
        <w:tab/>
      </w:r>
      <w:r>
        <w:rPr>
          <w:rFonts w:ascii="Arial" w:eastAsia="Calibri" w:hAnsi="Arial" w:cs="Arial"/>
          <w:sz w:val="22"/>
          <w:szCs w:val="22"/>
          <w:lang w:val="af-ZA"/>
        </w:rPr>
        <w:tab/>
      </w:r>
    </w:p>
    <w:p w:rsidR="00C846E2" w:rsidRPr="00345279" w:rsidRDefault="00C846E2" w:rsidP="00345279">
      <w:pPr>
        <w:spacing w:before="100" w:beforeAutospacing="1" w:after="100" w:afterAutospacing="1" w:line="276" w:lineRule="auto"/>
        <w:jc w:val="right"/>
        <w:outlineLvl w:val="0"/>
        <w:rPr>
          <w:rFonts w:ascii="Arial" w:eastAsia="Calibri" w:hAnsi="Arial" w:cs="Arial"/>
          <w:sz w:val="22"/>
          <w:szCs w:val="22"/>
          <w:lang w:val="af-ZA"/>
        </w:rPr>
      </w:pPr>
      <w:r>
        <w:rPr>
          <w:rFonts w:ascii="Arial" w:eastAsia="Calibri" w:hAnsi="Arial" w:cs="Arial"/>
          <w:sz w:val="22"/>
          <w:szCs w:val="22"/>
          <w:lang w:val="af-ZA"/>
        </w:rPr>
        <w:t>[</w:t>
      </w:r>
      <w:r>
        <w:rPr>
          <w:rFonts w:ascii="Arial" w:hAnsi="Arial" w:cs="Arial"/>
          <w:noProof/>
          <w:sz w:val="22"/>
          <w:szCs w:val="22"/>
          <w:lang w:val="af-ZA"/>
        </w:rPr>
        <w:t>NW4248E</w:t>
      </w:r>
      <w:r>
        <w:rPr>
          <w:rFonts w:ascii="Arial" w:eastAsia="Calibri" w:hAnsi="Arial" w:cs="Arial"/>
          <w:sz w:val="22"/>
          <w:szCs w:val="22"/>
          <w:lang w:val="af-ZA"/>
        </w:rPr>
        <w:t>]</w:t>
      </w:r>
    </w:p>
    <w:p w:rsidR="00345279" w:rsidRDefault="00345279" w:rsidP="00C846E2">
      <w:pPr>
        <w:tabs>
          <w:tab w:val="left" w:pos="432"/>
          <w:tab w:val="left" w:pos="864"/>
        </w:tabs>
        <w:spacing w:line="276" w:lineRule="auto"/>
        <w:rPr>
          <w:rFonts w:ascii="Arial" w:hAnsi="Arial" w:cs="Arial"/>
          <w:b/>
          <w:sz w:val="22"/>
          <w:szCs w:val="22"/>
        </w:rPr>
      </w:pPr>
    </w:p>
    <w:p w:rsidR="00C846E2" w:rsidRDefault="00C846E2" w:rsidP="00C846E2">
      <w:pPr>
        <w:tabs>
          <w:tab w:val="left" w:pos="432"/>
          <w:tab w:val="left" w:pos="864"/>
        </w:tabs>
        <w:spacing w:line="276" w:lineRule="auto"/>
        <w:rPr>
          <w:rFonts w:ascii="Arial" w:hAnsi="Arial" w:cs="Arial"/>
          <w:b/>
          <w:sz w:val="22"/>
          <w:szCs w:val="22"/>
        </w:rPr>
      </w:pPr>
      <w:r>
        <w:rPr>
          <w:rFonts w:ascii="Arial" w:hAnsi="Arial" w:cs="Arial"/>
          <w:b/>
          <w:sz w:val="22"/>
          <w:szCs w:val="22"/>
        </w:rPr>
        <w:t xml:space="preserve">REPLY </w:t>
      </w:r>
    </w:p>
    <w:p w:rsidR="00C846E2" w:rsidRPr="000D291B" w:rsidRDefault="00C846E2" w:rsidP="00C846E2">
      <w:pPr>
        <w:pStyle w:val="ListParagraph"/>
        <w:numPr>
          <w:ilvl w:val="0"/>
          <w:numId w:val="1"/>
        </w:numPr>
        <w:spacing w:before="100" w:beforeAutospacing="1" w:after="100" w:afterAutospacing="1" w:line="276" w:lineRule="auto"/>
        <w:jc w:val="both"/>
        <w:rPr>
          <w:rFonts w:ascii="Arial" w:eastAsia="Calibri" w:hAnsi="Arial" w:cs="Arial"/>
          <w:sz w:val="22"/>
          <w:szCs w:val="22"/>
          <w:lang w:val="en-GB"/>
        </w:rPr>
      </w:pPr>
      <w:r w:rsidRPr="000D291B">
        <w:rPr>
          <w:rFonts w:ascii="Arial" w:eastAsia="Calibri" w:hAnsi="Arial" w:cs="Arial"/>
          <w:sz w:val="22"/>
          <w:szCs w:val="22"/>
          <w:lang w:val="af-ZA"/>
        </w:rPr>
        <w:t xml:space="preserve">SARS is not able to accurately trace the number of declaration pertaining to capital progits on cryptocurrency </w:t>
      </w:r>
    </w:p>
    <w:p w:rsidR="00C846E2" w:rsidRPr="000D291B" w:rsidRDefault="00C846E2" w:rsidP="00C846E2">
      <w:pPr>
        <w:pStyle w:val="ListParagraph"/>
        <w:spacing w:before="100" w:beforeAutospacing="1" w:after="100" w:afterAutospacing="1" w:line="276" w:lineRule="auto"/>
        <w:jc w:val="both"/>
        <w:rPr>
          <w:rFonts w:ascii="Arial" w:eastAsia="Calibri" w:hAnsi="Arial" w:cs="Arial"/>
          <w:sz w:val="22"/>
          <w:szCs w:val="22"/>
          <w:lang w:val="en-GB"/>
        </w:rPr>
      </w:pPr>
    </w:p>
    <w:p w:rsidR="00C846E2" w:rsidRPr="000D291B" w:rsidRDefault="00C846E2" w:rsidP="000D291B">
      <w:pPr>
        <w:spacing w:before="100" w:beforeAutospacing="1" w:after="100" w:afterAutospacing="1" w:line="276" w:lineRule="auto"/>
        <w:ind w:left="360"/>
        <w:jc w:val="both"/>
        <w:rPr>
          <w:rFonts w:ascii="Arial" w:eastAsia="Calibri" w:hAnsi="Arial" w:cs="Arial"/>
          <w:sz w:val="22"/>
          <w:szCs w:val="22"/>
          <w:lang w:val="en-GB"/>
        </w:rPr>
      </w:pPr>
      <w:r w:rsidRPr="000D291B">
        <w:rPr>
          <w:rFonts w:ascii="Arial" w:eastAsia="Calibri" w:hAnsi="Arial" w:cs="Arial"/>
          <w:sz w:val="22"/>
          <w:szCs w:val="22"/>
          <w:lang w:val="af-ZA"/>
        </w:rPr>
        <w:t xml:space="preserve">The existing income tax return forms </w:t>
      </w:r>
      <w:r w:rsidR="00601FA0" w:rsidRPr="000D291B">
        <w:rPr>
          <w:rFonts w:ascii="Arial" w:eastAsia="Calibri" w:hAnsi="Arial" w:cs="Arial"/>
          <w:sz w:val="22"/>
          <w:szCs w:val="22"/>
          <w:lang w:val="af-ZA"/>
        </w:rPr>
        <w:t>currently do not make provision</w:t>
      </w:r>
      <w:r w:rsidRPr="000D291B">
        <w:rPr>
          <w:rFonts w:ascii="Arial" w:eastAsia="Calibri" w:hAnsi="Arial" w:cs="Arial"/>
          <w:sz w:val="22"/>
          <w:szCs w:val="22"/>
          <w:lang w:val="af-ZA"/>
        </w:rPr>
        <w:t xml:space="preserve"> for taxpayers to specifically declare capital profits regarding cryptocurrency trades, however work is underway within SARS to consider the amendment of the tax forms for the 2019 tax season in order to cater for the description of other assets (which will include cryptocurrencies) by means of a specific description field on the form.</w:t>
      </w:r>
    </w:p>
    <w:p w:rsidR="00C846E2" w:rsidRPr="000D291B" w:rsidRDefault="00C846E2" w:rsidP="000D291B">
      <w:pPr>
        <w:spacing w:before="100" w:beforeAutospacing="1" w:after="100" w:afterAutospacing="1" w:line="276" w:lineRule="auto"/>
        <w:ind w:left="360"/>
        <w:jc w:val="both"/>
        <w:outlineLvl w:val="0"/>
        <w:rPr>
          <w:rFonts w:ascii="Arial" w:eastAsia="Calibri" w:hAnsi="Arial" w:cs="Arial"/>
          <w:sz w:val="22"/>
          <w:szCs w:val="22"/>
          <w:lang w:val="af-ZA"/>
        </w:rPr>
      </w:pPr>
      <w:r w:rsidRPr="000D291B">
        <w:rPr>
          <w:rFonts w:ascii="Arial" w:eastAsia="Calibri" w:hAnsi="Arial" w:cs="Arial"/>
          <w:sz w:val="22"/>
          <w:szCs w:val="22"/>
          <w:lang w:val="af-ZA"/>
        </w:rPr>
        <w:t>Taxpayers who have made some form of declarations regarding cryptocurrency trades, have captured such trade as a form of “other trade income” or “other trade loss”, and have made reference to a description of digital/crypto currency trading (e.g. Bitcoin Cash, Litecoin (LTC), Ethereum (ETH), Zcash (ZEC) to name a few).</w:t>
      </w:r>
    </w:p>
    <w:p w:rsidR="00C846E2" w:rsidRDefault="00C846E2" w:rsidP="00C846E2">
      <w:pPr>
        <w:pStyle w:val="ListParagraph"/>
        <w:spacing w:before="100" w:beforeAutospacing="1" w:after="100" w:afterAutospacing="1" w:line="276" w:lineRule="auto"/>
        <w:jc w:val="both"/>
        <w:outlineLvl w:val="0"/>
        <w:rPr>
          <w:rFonts w:ascii="Arial" w:eastAsia="Calibri" w:hAnsi="Arial" w:cs="Arial"/>
          <w:sz w:val="22"/>
          <w:szCs w:val="22"/>
          <w:lang w:val="af-ZA"/>
        </w:rPr>
      </w:pPr>
    </w:p>
    <w:p w:rsidR="00345279" w:rsidRDefault="00C846E2" w:rsidP="00C846E2">
      <w:pPr>
        <w:pStyle w:val="ListParagraph"/>
        <w:numPr>
          <w:ilvl w:val="0"/>
          <w:numId w:val="1"/>
        </w:numPr>
        <w:spacing w:before="100" w:beforeAutospacing="1" w:after="100" w:afterAutospacing="1" w:line="276" w:lineRule="auto"/>
        <w:jc w:val="both"/>
        <w:outlineLvl w:val="0"/>
        <w:rPr>
          <w:rFonts w:ascii="Arial" w:eastAsia="Calibri" w:hAnsi="Arial" w:cs="Arial"/>
          <w:sz w:val="22"/>
          <w:szCs w:val="22"/>
          <w:lang w:val="af-ZA"/>
        </w:rPr>
      </w:pPr>
      <w:r>
        <w:rPr>
          <w:rFonts w:ascii="Arial" w:eastAsia="Calibri" w:hAnsi="Arial" w:cs="Arial"/>
          <w:sz w:val="22"/>
          <w:szCs w:val="22"/>
          <w:lang w:val="af-ZA"/>
        </w:rPr>
        <w:t xml:space="preserve">The South African Revenue Service (SARS) issued a media release on 6 April 2018 clarifying that it would </w:t>
      </w:r>
      <w:r w:rsidRPr="00C846E2">
        <w:rPr>
          <w:rFonts w:ascii="Arial" w:eastAsia="Calibri" w:hAnsi="Arial" w:cs="Arial"/>
          <w:sz w:val="22"/>
          <w:szCs w:val="22"/>
          <w:u w:val="single"/>
          <w:lang w:val="af-ZA"/>
        </w:rPr>
        <w:t>apply normal income tax rules to cryptocurrencies</w:t>
      </w:r>
      <w:r>
        <w:rPr>
          <w:rFonts w:ascii="Arial" w:eastAsia="Calibri" w:hAnsi="Arial" w:cs="Arial"/>
          <w:sz w:val="22"/>
          <w:szCs w:val="22"/>
          <w:lang w:val="af-ZA"/>
        </w:rPr>
        <w:t xml:space="preserve">. </w:t>
      </w:r>
    </w:p>
    <w:p w:rsidR="00345279" w:rsidRDefault="00345279" w:rsidP="00345279">
      <w:pPr>
        <w:pStyle w:val="ListParagraph"/>
        <w:spacing w:before="100" w:beforeAutospacing="1" w:after="100" w:afterAutospacing="1" w:line="276" w:lineRule="auto"/>
        <w:jc w:val="both"/>
        <w:outlineLvl w:val="0"/>
        <w:rPr>
          <w:rFonts w:ascii="Arial" w:eastAsia="Calibri" w:hAnsi="Arial" w:cs="Arial"/>
          <w:sz w:val="22"/>
          <w:szCs w:val="22"/>
          <w:lang w:val="af-ZA"/>
        </w:rPr>
      </w:pPr>
    </w:p>
    <w:p w:rsidR="00345279" w:rsidRPr="000D291B" w:rsidRDefault="00C846E2" w:rsidP="000D291B">
      <w:pPr>
        <w:spacing w:before="100" w:beforeAutospacing="1" w:after="100" w:afterAutospacing="1" w:line="276" w:lineRule="auto"/>
        <w:ind w:left="360"/>
        <w:jc w:val="both"/>
        <w:outlineLvl w:val="0"/>
        <w:rPr>
          <w:rFonts w:ascii="Arial" w:eastAsia="Calibri" w:hAnsi="Arial" w:cs="Arial"/>
          <w:sz w:val="22"/>
          <w:szCs w:val="22"/>
          <w:lang w:val="af-ZA"/>
        </w:rPr>
      </w:pPr>
      <w:r w:rsidRPr="000D291B">
        <w:rPr>
          <w:rFonts w:ascii="Arial" w:eastAsia="Calibri" w:hAnsi="Arial" w:cs="Arial"/>
          <w:sz w:val="22"/>
          <w:szCs w:val="22"/>
          <w:lang w:val="af-ZA"/>
        </w:rPr>
        <w:t xml:space="preserve">In line with the announcement made in Annexure C of the 2018 Budget Review, the Taxation Laws Amendment Bill, 2018, proposes amendments with respect to the treatment of cryptocurrencies for income tax and value-added tax purposes. </w:t>
      </w:r>
    </w:p>
    <w:p w:rsidR="00345279" w:rsidRDefault="00345279" w:rsidP="00345279">
      <w:pPr>
        <w:pStyle w:val="ListParagraph"/>
        <w:spacing w:before="100" w:beforeAutospacing="1" w:after="100" w:afterAutospacing="1" w:line="276" w:lineRule="auto"/>
        <w:jc w:val="both"/>
        <w:outlineLvl w:val="0"/>
        <w:rPr>
          <w:rFonts w:ascii="Arial" w:eastAsia="Calibri" w:hAnsi="Arial" w:cs="Arial"/>
          <w:sz w:val="22"/>
          <w:szCs w:val="22"/>
          <w:lang w:val="af-ZA"/>
        </w:rPr>
      </w:pPr>
    </w:p>
    <w:p w:rsidR="00345279" w:rsidRDefault="00345279" w:rsidP="00345279">
      <w:pPr>
        <w:pStyle w:val="ListParagraph"/>
        <w:spacing w:before="100" w:beforeAutospacing="1" w:after="100" w:afterAutospacing="1" w:line="276" w:lineRule="auto"/>
        <w:jc w:val="both"/>
        <w:outlineLvl w:val="0"/>
        <w:rPr>
          <w:rFonts w:ascii="Arial" w:eastAsia="Calibri" w:hAnsi="Arial" w:cs="Arial"/>
          <w:sz w:val="22"/>
          <w:szCs w:val="22"/>
          <w:lang w:val="af-ZA"/>
        </w:rPr>
      </w:pPr>
    </w:p>
    <w:p w:rsidR="00601FA0" w:rsidRDefault="00601FA0" w:rsidP="00345279">
      <w:pPr>
        <w:pStyle w:val="ListParagraph"/>
        <w:spacing w:before="100" w:beforeAutospacing="1" w:after="100" w:afterAutospacing="1" w:line="276" w:lineRule="auto"/>
        <w:jc w:val="both"/>
        <w:outlineLvl w:val="0"/>
        <w:rPr>
          <w:rFonts w:ascii="Arial" w:eastAsia="Calibri" w:hAnsi="Arial" w:cs="Arial"/>
          <w:sz w:val="22"/>
          <w:szCs w:val="22"/>
          <w:lang w:val="af-ZA"/>
        </w:rPr>
      </w:pPr>
    </w:p>
    <w:p w:rsidR="00C846E2" w:rsidRDefault="00C846E2" w:rsidP="000D291B">
      <w:pPr>
        <w:pStyle w:val="ListParagraph"/>
        <w:spacing w:before="100" w:beforeAutospacing="1" w:after="100" w:afterAutospacing="1" w:line="276" w:lineRule="auto"/>
        <w:ind w:left="426"/>
        <w:jc w:val="both"/>
        <w:outlineLvl w:val="0"/>
        <w:rPr>
          <w:rFonts w:ascii="Arial" w:eastAsia="Calibri" w:hAnsi="Arial" w:cs="Arial"/>
          <w:sz w:val="22"/>
          <w:szCs w:val="22"/>
          <w:lang w:val="af-ZA"/>
        </w:rPr>
      </w:pPr>
      <w:r>
        <w:rPr>
          <w:rFonts w:ascii="Arial" w:eastAsia="Calibri" w:hAnsi="Arial" w:cs="Arial"/>
          <w:sz w:val="22"/>
          <w:szCs w:val="22"/>
          <w:lang w:val="af-ZA"/>
        </w:rPr>
        <w:t xml:space="preserve">These amendments ensure that that losses on cryptocurrencies may only be set off against profits from cryptocurrencies (otherwise known as ring-fencing), clarify that cryptocurrencies cannot be classed as personal use assets for capital gains tax purposes and treat cryptocurrencies as financial services for value-added tax purposes. Further, National </w:t>
      </w:r>
    </w:p>
    <w:p w:rsidR="00345279" w:rsidRDefault="00C846E2" w:rsidP="000D291B">
      <w:pPr>
        <w:spacing w:before="100" w:beforeAutospacing="1" w:after="100" w:afterAutospacing="1" w:line="276" w:lineRule="auto"/>
        <w:ind w:left="426"/>
        <w:jc w:val="both"/>
        <w:outlineLvl w:val="0"/>
        <w:rPr>
          <w:rFonts w:ascii="Arial" w:eastAsia="Calibri" w:hAnsi="Arial" w:cs="Arial"/>
          <w:sz w:val="22"/>
          <w:szCs w:val="22"/>
          <w:lang w:val="af-ZA"/>
        </w:rPr>
      </w:pPr>
      <w:r>
        <w:rPr>
          <w:rFonts w:ascii="Arial" w:eastAsia="Calibri" w:hAnsi="Arial" w:cs="Arial"/>
          <w:sz w:val="22"/>
          <w:szCs w:val="22"/>
          <w:lang w:val="af-ZA"/>
        </w:rPr>
        <w:t xml:space="preserve">Treasury does not wish to pre-empt the work of the Intergovernmental Crypto Assets Regulatory Working Group (CAR WG). The CAR WG is looking into all aspects of cryptocurrencies, related blockchain concepts and use cases. This is being done with a view towards developing a cohesive governmental understanding and response to cryptocurrencies. </w:t>
      </w:r>
    </w:p>
    <w:p w:rsidR="00C846E2" w:rsidRDefault="00C846E2" w:rsidP="000D291B">
      <w:pPr>
        <w:spacing w:before="100" w:beforeAutospacing="1" w:after="100" w:afterAutospacing="1" w:line="276" w:lineRule="auto"/>
        <w:ind w:left="360"/>
        <w:jc w:val="both"/>
        <w:outlineLvl w:val="0"/>
        <w:rPr>
          <w:rFonts w:ascii="Arial" w:eastAsia="Calibri" w:hAnsi="Arial" w:cs="Arial"/>
          <w:sz w:val="22"/>
          <w:szCs w:val="22"/>
          <w:lang w:val="af-ZA"/>
        </w:rPr>
      </w:pPr>
      <w:r>
        <w:rPr>
          <w:rFonts w:ascii="Arial" w:eastAsia="Calibri" w:hAnsi="Arial" w:cs="Arial"/>
          <w:sz w:val="22"/>
          <w:szCs w:val="22"/>
          <w:lang w:val="af-ZA"/>
        </w:rPr>
        <w:t>In keeping with the development of a unified intergovernmental regulatory framework, the CAR WG has broad intergovernmental representation and includes representatives from the Financial Intelligence Centre, Financial Sector Conduct Authority, National Treasury, SA Reserve Bank and SARS. It is anticipated that, following broad industry comment and participation, the CAR WG will be ready to release a final research paper on the subject during the course of 2019. The OECD/G20’s Inclusive Framework on BEPS is also working on the tax challenges arising from digitalisation, which include the issue of cryptocurrencies. An interim report was issued earlier this year (https://www.oecd-ilibrary.org/taxation/tax-challenges-arising-from-digitalisation-interim-report_9789264293083-en) with a view to issuing a final report in 2020.</w:t>
      </w:r>
    </w:p>
    <w:p w:rsidR="00C846E2" w:rsidRPr="00345279" w:rsidRDefault="00345279" w:rsidP="00345279">
      <w:pPr>
        <w:pStyle w:val="ListParagraph"/>
        <w:numPr>
          <w:ilvl w:val="0"/>
          <w:numId w:val="1"/>
        </w:numPr>
        <w:spacing w:before="100" w:beforeAutospacing="1" w:after="100" w:afterAutospacing="1" w:line="276" w:lineRule="auto"/>
        <w:jc w:val="both"/>
        <w:outlineLvl w:val="0"/>
        <w:rPr>
          <w:rFonts w:ascii="Arial" w:eastAsia="Calibri" w:hAnsi="Arial" w:cs="Arial"/>
          <w:sz w:val="22"/>
          <w:szCs w:val="22"/>
          <w:lang w:val="af-ZA"/>
        </w:rPr>
      </w:pPr>
      <w:r>
        <w:rPr>
          <w:rFonts w:ascii="Arial" w:eastAsia="Calibri" w:hAnsi="Arial" w:cs="Arial"/>
          <w:sz w:val="22"/>
          <w:szCs w:val="22"/>
          <w:lang w:val="af-ZA"/>
        </w:rPr>
        <w:t>N/A</w:t>
      </w:r>
    </w:p>
    <w:p w:rsidR="00C846E2" w:rsidRDefault="00C846E2" w:rsidP="00C846E2">
      <w:pPr>
        <w:pStyle w:val="ListParagraph"/>
        <w:spacing w:before="100" w:beforeAutospacing="1" w:after="100" w:afterAutospacing="1" w:line="276" w:lineRule="auto"/>
        <w:jc w:val="both"/>
        <w:outlineLvl w:val="0"/>
        <w:rPr>
          <w:rFonts w:ascii="Arial" w:eastAsia="Calibri" w:hAnsi="Arial" w:cs="Arial"/>
          <w:sz w:val="22"/>
          <w:szCs w:val="22"/>
          <w:lang w:val="af-ZA"/>
        </w:rPr>
      </w:pPr>
    </w:p>
    <w:p w:rsidR="00C846E2" w:rsidRDefault="00C846E2" w:rsidP="00C846E2">
      <w:pPr>
        <w:pStyle w:val="ListParagraph"/>
        <w:spacing w:before="100" w:beforeAutospacing="1" w:after="100" w:afterAutospacing="1" w:line="276" w:lineRule="auto"/>
        <w:jc w:val="both"/>
        <w:outlineLvl w:val="0"/>
        <w:rPr>
          <w:rFonts w:ascii="Arial" w:eastAsia="Calibri" w:hAnsi="Arial" w:cs="Arial"/>
          <w:sz w:val="22"/>
          <w:szCs w:val="22"/>
          <w:lang w:val="af-ZA"/>
        </w:rPr>
      </w:pPr>
    </w:p>
    <w:p w:rsidR="00C846E2" w:rsidRDefault="00C846E2" w:rsidP="00C846E2">
      <w:pPr>
        <w:pStyle w:val="ListParagraph"/>
        <w:spacing w:before="100" w:beforeAutospacing="1" w:after="100" w:afterAutospacing="1" w:line="276" w:lineRule="auto"/>
        <w:jc w:val="both"/>
        <w:outlineLvl w:val="0"/>
        <w:rPr>
          <w:rFonts w:ascii="Arial" w:eastAsia="Calibri" w:hAnsi="Arial" w:cs="Arial"/>
          <w:sz w:val="22"/>
          <w:szCs w:val="22"/>
          <w:lang w:val="af-ZA"/>
        </w:rPr>
      </w:pPr>
    </w:p>
    <w:p w:rsidR="00C846E2" w:rsidRDefault="00C846E2" w:rsidP="00C846E2">
      <w:pPr>
        <w:pStyle w:val="ListParagraph"/>
        <w:spacing w:before="100" w:beforeAutospacing="1" w:after="100" w:afterAutospacing="1" w:line="276" w:lineRule="auto"/>
        <w:jc w:val="both"/>
        <w:outlineLvl w:val="0"/>
        <w:rPr>
          <w:rFonts w:ascii="Arial" w:eastAsia="Calibri" w:hAnsi="Arial" w:cs="Arial"/>
          <w:sz w:val="22"/>
          <w:szCs w:val="22"/>
          <w:lang w:val="af-ZA"/>
        </w:rPr>
      </w:pPr>
    </w:p>
    <w:p w:rsidR="00C846E2" w:rsidRDefault="00C846E2" w:rsidP="00C846E2">
      <w:pPr>
        <w:pStyle w:val="ListParagraph"/>
        <w:spacing w:before="100" w:beforeAutospacing="1" w:after="100" w:afterAutospacing="1" w:line="276" w:lineRule="auto"/>
        <w:jc w:val="both"/>
        <w:outlineLvl w:val="0"/>
        <w:rPr>
          <w:rFonts w:ascii="Arial" w:eastAsia="Calibri" w:hAnsi="Arial" w:cs="Arial"/>
          <w:sz w:val="22"/>
          <w:szCs w:val="22"/>
          <w:lang w:val="af-ZA"/>
        </w:rPr>
      </w:pPr>
    </w:p>
    <w:p w:rsidR="00A056C3" w:rsidRDefault="00A056C3"/>
    <w:sectPr w:rsidR="00A056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90FF6"/>
    <w:multiLevelType w:val="hybridMultilevel"/>
    <w:tmpl w:val="EB722C0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78907D1F"/>
    <w:multiLevelType w:val="hybridMultilevel"/>
    <w:tmpl w:val="1E8E8C4E"/>
    <w:lvl w:ilvl="0" w:tplc="5498E2BE">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E2"/>
    <w:rsid w:val="000D291B"/>
    <w:rsid w:val="00241250"/>
    <w:rsid w:val="00345279"/>
    <w:rsid w:val="00601FA0"/>
    <w:rsid w:val="007261F8"/>
    <w:rsid w:val="00A056C3"/>
    <w:rsid w:val="00C846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BC9D6-16A6-4285-88A1-5C9547AE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6E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C846E2"/>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semiHidden/>
    <w:rsid w:val="00C846E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846E2"/>
    <w:pPr>
      <w:ind w:left="720"/>
      <w:contextualSpacing/>
    </w:pPr>
  </w:style>
  <w:style w:type="paragraph" w:styleId="BalloonText">
    <w:name w:val="Balloon Text"/>
    <w:basedOn w:val="Normal"/>
    <w:link w:val="BalloonTextChar"/>
    <w:uiPriority w:val="99"/>
    <w:semiHidden/>
    <w:unhideWhenUsed/>
    <w:rsid w:val="00345279"/>
    <w:rPr>
      <w:rFonts w:ascii="Tahoma" w:hAnsi="Tahoma" w:cs="Tahoma"/>
      <w:sz w:val="16"/>
      <w:szCs w:val="16"/>
    </w:rPr>
  </w:style>
  <w:style w:type="character" w:customStyle="1" w:styleId="BalloonTextChar">
    <w:name w:val="Balloon Text Char"/>
    <w:basedOn w:val="DefaultParagraphFont"/>
    <w:link w:val="BalloonText"/>
    <w:uiPriority w:val="99"/>
    <w:semiHidden/>
    <w:rsid w:val="0034527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35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Monosi Mopelong</dc:creator>
  <cp:keywords/>
  <dc:description/>
  <cp:lastModifiedBy>Michael  Plaatjies</cp:lastModifiedBy>
  <cp:revision>2</cp:revision>
  <cp:lastPrinted>2018-12-14T12:22:00Z</cp:lastPrinted>
  <dcterms:created xsi:type="dcterms:W3CDTF">2018-12-31T14:21:00Z</dcterms:created>
  <dcterms:modified xsi:type="dcterms:W3CDTF">2018-12-31T14:21:00Z</dcterms:modified>
</cp:coreProperties>
</file>