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Pr="00FB0433" w:rsidRDefault="00DB23C8" w:rsidP="00FB0433">
      <w:pPr>
        <w:pStyle w:val="Body1"/>
        <w:spacing w:line="276" w:lineRule="auto"/>
        <w:jc w:val="center"/>
        <w:rPr>
          <w:rFonts w:ascii="Arial" w:hAnsi="Arial" w:cs="Arial"/>
          <w:b/>
          <w:szCs w:val="24"/>
        </w:rPr>
      </w:pPr>
      <w:r>
        <w:rPr>
          <w:rFonts w:ascii="Arial" w:hAnsi="Arial" w:cs="Arial"/>
          <w:b/>
          <w:noProof/>
          <w:color w:val="FF0000"/>
          <w:szCs w:val="24"/>
          <w:lang w:val="en-ZA" w:eastAsia="en-ZA"/>
        </w:rPr>
        <w:drawing>
          <wp:anchor distT="50800" distB="50800" distL="50800" distR="50800" simplePos="0" relativeHeight="251657728" behindDoc="0" locked="0" layoutInCell="1" allowOverlap="1">
            <wp:simplePos x="0" y="0"/>
            <wp:positionH relativeFrom="page">
              <wp:align>center</wp:align>
            </wp:positionH>
            <wp:positionV relativeFrom="page">
              <wp:posOffset>180975</wp:posOffset>
            </wp:positionV>
            <wp:extent cx="4202430" cy="1905000"/>
            <wp:effectExtent l="19050" t="0" r="7620" b="0"/>
            <wp:wrapTight wrapText="bothSides">
              <wp:wrapPolygon edited="0">
                <wp:start x="-98" y="0"/>
                <wp:lineTo x="-98" y="21384"/>
                <wp:lineTo x="21639" y="21384"/>
                <wp:lineTo x="21639" y="0"/>
                <wp:lineTo x="-98"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202430" cy="1905000"/>
                    </a:xfrm>
                    <a:prstGeom prst="rect">
                      <a:avLst/>
                    </a:prstGeom>
                    <a:noFill/>
                    <a:ln w="12700">
                      <a:noFill/>
                      <a:miter lim="0"/>
                      <a:headEnd/>
                      <a:tailEnd/>
                    </a:ln>
                    <a:effectLst/>
                  </pic:spPr>
                </pic:pic>
              </a:graphicData>
            </a:graphic>
          </wp:anchor>
        </w:drawing>
      </w:r>
    </w:p>
    <w:p w:rsidR="00150B15" w:rsidRPr="00FB0433" w:rsidRDefault="00150B15" w:rsidP="00FB0433">
      <w:pPr>
        <w:pStyle w:val="Body1"/>
        <w:spacing w:line="276" w:lineRule="auto"/>
        <w:jc w:val="center"/>
        <w:rPr>
          <w:rFonts w:ascii="Arial" w:hAnsi="Arial" w:cs="Arial"/>
          <w:b/>
          <w:szCs w:val="24"/>
        </w:rPr>
      </w:pPr>
    </w:p>
    <w:p w:rsidR="00150B15" w:rsidRPr="00FB0433" w:rsidRDefault="00150B15" w:rsidP="00FB0433">
      <w:pPr>
        <w:pStyle w:val="Body1"/>
        <w:spacing w:line="276" w:lineRule="auto"/>
        <w:rPr>
          <w:rFonts w:ascii="Arial" w:hAnsi="Arial" w:cs="Arial"/>
          <w:b/>
          <w:szCs w:val="24"/>
        </w:rPr>
      </w:pPr>
    </w:p>
    <w:p w:rsidR="00150B15" w:rsidRPr="00FB0433" w:rsidRDefault="00150B15" w:rsidP="00FB0433">
      <w:pPr>
        <w:pStyle w:val="Body1"/>
        <w:spacing w:line="276" w:lineRule="auto"/>
        <w:jc w:val="right"/>
        <w:rPr>
          <w:rFonts w:ascii="Arial" w:hAnsi="Arial" w:cs="Arial"/>
          <w:b/>
          <w:color w:val="FF0000"/>
          <w:szCs w:val="24"/>
        </w:rPr>
      </w:pPr>
    </w:p>
    <w:p w:rsidR="00306351" w:rsidRPr="00FB0433" w:rsidRDefault="00306351" w:rsidP="00FB0433">
      <w:pPr>
        <w:pStyle w:val="Body1"/>
        <w:spacing w:line="276" w:lineRule="auto"/>
        <w:jc w:val="center"/>
        <w:rPr>
          <w:rFonts w:ascii="Arial" w:hAnsi="Arial" w:cs="Arial"/>
          <w:b/>
          <w:szCs w:val="24"/>
        </w:rPr>
      </w:pPr>
    </w:p>
    <w:p w:rsidR="004D6C42" w:rsidRPr="00FB0433" w:rsidRDefault="004D6C42" w:rsidP="00FB0433">
      <w:pPr>
        <w:pStyle w:val="Body1"/>
        <w:spacing w:line="276" w:lineRule="auto"/>
        <w:jc w:val="center"/>
        <w:rPr>
          <w:rFonts w:ascii="Arial" w:hAnsi="Arial" w:cs="Arial"/>
          <w:b/>
          <w:szCs w:val="24"/>
        </w:rPr>
      </w:pPr>
    </w:p>
    <w:p w:rsidR="00150B15" w:rsidRPr="00FB0433" w:rsidRDefault="00150B15" w:rsidP="00FB0433">
      <w:pPr>
        <w:pStyle w:val="Body1"/>
        <w:spacing w:line="276" w:lineRule="auto"/>
        <w:jc w:val="center"/>
        <w:rPr>
          <w:rFonts w:ascii="Arial" w:hAnsi="Arial" w:cs="Arial"/>
          <w:b/>
          <w:szCs w:val="24"/>
        </w:rPr>
      </w:pPr>
      <w:r w:rsidRPr="00FB0433">
        <w:rPr>
          <w:rFonts w:ascii="Arial" w:hAnsi="Arial" w:cs="Arial"/>
          <w:b/>
          <w:szCs w:val="24"/>
        </w:rPr>
        <w:t xml:space="preserve">NATIONAL </w:t>
      </w:r>
      <w:r w:rsidR="00ED53EE" w:rsidRPr="00FB0433">
        <w:rPr>
          <w:rFonts w:ascii="Arial" w:hAnsi="Arial" w:cs="Arial"/>
          <w:b/>
          <w:szCs w:val="24"/>
        </w:rPr>
        <w:t>ASSEMBLY</w:t>
      </w:r>
      <w:r w:rsidR="008A5330" w:rsidRPr="00FB0433">
        <w:rPr>
          <w:rFonts w:ascii="Arial" w:hAnsi="Arial" w:cs="Arial"/>
          <w:b/>
          <w:szCs w:val="24"/>
        </w:rPr>
        <w:tab/>
      </w:r>
    </w:p>
    <w:p w:rsidR="004D6C42" w:rsidRPr="00FB0433" w:rsidRDefault="004D6C42" w:rsidP="00FB0433">
      <w:pPr>
        <w:spacing w:line="276" w:lineRule="auto"/>
        <w:outlineLvl w:val="0"/>
        <w:rPr>
          <w:rFonts w:ascii="Arial" w:eastAsia="Arial Unicode MS" w:hAnsi="Arial" w:cs="Arial"/>
          <w:b/>
          <w:color w:val="000000"/>
          <w:u w:color="000000"/>
        </w:rPr>
      </w:pPr>
    </w:p>
    <w:p w:rsidR="00150B15" w:rsidRPr="00FB0433" w:rsidRDefault="00150B15" w:rsidP="00FB0433">
      <w:pPr>
        <w:spacing w:line="276" w:lineRule="auto"/>
        <w:outlineLvl w:val="0"/>
        <w:rPr>
          <w:rFonts w:ascii="Arial" w:eastAsia="Arial Unicode MS" w:hAnsi="Arial" w:cs="Arial"/>
          <w:b/>
          <w:color w:val="000000"/>
          <w:u w:color="000000"/>
        </w:rPr>
      </w:pPr>
      <w:r w:rsidRPr="00FB0433">
        <w:rPr>
          <w:rFonts w:ascii="Arial" w:eastAsia="Arial Unicode MS" w:hAnsi="Arial" w:cs="Arial"/>
          <w:b/>
          <w:color w:val="000000"/>
          <w:u w:color="000000"/>
        </w:rPr>
        <w:t>WRITTEN REPLY</w:t>
      </w:r>
    </w:p>
    <w:p w:rsidR="00150B15" w:rsidRPr="00FB0433" w:rsidRDefault="00150B15" w:rsidP="00FB0433">
      <w:pPr>
        <w:spacing w:line="276" w:lineRule="auto"/>
        <w:jc w:val="both"/>
        <w:outlineLvl w:val="0"/>
        <w:rPr>
          <w:rFonts w:ascii="Arial" w:eastAsia="Arial Unicode MS" w:hAnsi="Arial" w:cs="Arial"/>
          <w:b/>
          <w:color w:val="000000"/>
          <w:u w:color="000000"/>
        </w:rPr>
      </w:pPr>
    </w:p>
    <w:p w:rsidR="00150B15" w:rsidRPr="00FB0433" w:rsidRDefault="000E0227" w:rsidP="00FB0433">
      <w:pPr>
        <w:spacing w:line="276" w:lineRule="auto"/>
        <w:jc w:val="both"/>
        <w:outlineLvl w:val="0"/>
        <w:rPr>
          <w:rFonts w:ascii="Arial" w:eastAsia="Arial Unicode MS" w:hAnsi="Arial" w:cs="Arial"/>
          <w:b/>
          <w:color w:val="000000"/>
          <w:u w:color="000000"/>
        </w:rPr>
      </w:pPr>
      <w:r w:rsidRPr="00FB0433">
        <w:rPr>
          <w:rFonts w:ascii="Arial" w:eastAsia="Arial Unicode MS" w:hAnsi="Arial" w:cs="Arial"/>
          <w:b/>
          <w:color w:val="000000"/>
          <w:u w:color="000000"/>
        </w:rPr>
        <w:t>PARLIAMENTARY QUESTION:</w:t>
      </w:r>
      <w:r w:rsidR="00150B15" w:rsidRPr="00FB0433">
        <w:rPr>
          <w:rFonts w:ascii="Arial" w:eastAsia="Arial Unicode MS" w:hAnsi="Arial" w:cs="Arial"/>
          <w:b/>
          <w:color w:val="000000"/>
          <w:u w:color="000000"/>
        </w:rPr>
        <w:t xml:space="preserve"> </w:t>
      </w:r>
      <w:r w:rsidR="00AC6F09">
        <w:rPr>
          <w:rFonts w:ascii="Arial" w:eastAsia="Arial Unicode MS" w:hAnsi="Arial" w:cs="Arial"/>
          <w:b/>
          <w:color w:val="000000"/>
          <w:u w:color="000000"/>
        </w:rPr>
        <w:t>3676</w:t>
      </w:r>
    </w:p>
    <w:p w:rsidR="00150B15" w:rsidRPr="00FB0433" w:rsidRDefault="00150B15" w:rsidP="00FB0433">
      <w:pPr>
        <w:spacing w:line="276" w:lineRule="auto"/>
        <w:jc w:val="both"/>
        <w:outlineLvl w:val="0"/>
        <w:rPr>
          <w:rFonts w:ascii="Arial" w:eastAsia="Arial Unicode MS" w:hAnsi="Arial" w:cs="Arial"/>
          <w:b/>
          <w:color w:val="000000"/>
          <w:u w:color="000000"/>
        </w:rPr>
      </w:pPr>
    </w:p>
    <w:p w:rsidR="00150B15" w:rsidRPr="00FB0433" w:rsidRDefault="009E2258" w:rsidP="00FB0433">
      <w:pPr>
        <w:spacing w:line="276" w:lineRule="auto"/>
        <w:jc w:val="both"/>
        <w:outlineLvl w:val="0"/>
        <w:rPr>
          <w:rFonts w:ascii="Arial" w:eastAsia="Arial Unicode MS" w:hAnsi="Arial" w:cs="Arial"/>
          <w:color w:val="000000"/>
          <w:u w:color="000000"/>
        </w:rPr>
      </w:pPr>
      <w:r w:rsidRPr="00FB0433">
        <w:rPr>
          <w:rFonts w:ascii="Arial" w:eastAsia="Arial Unicode MS" w:hAnsi="Arial" w:cs="Arial"/>
          <w:b/>
          <w:color w:val="000000"/>
          <w:u w:color="000000"/>
        </w:rPr>
        <w:t>DA</w:t>
      </w:r>
      <w:r w:rsidR="00AC6F09">
        <w:rPr>
          <w:rFonts w:ascii="Arial" w:eastAsia="Arial Unicode MS" w:hAnsi="Arial" w:cs="Arial"/>
          <w:b/>
          <w:color w:val="000000"/>
          <w:u w:color="000000"/>
        </w:rPr>
        <w:t>TE OF PUBLICATION: 10 November</w:t>
      </w:r>
      <w:r w:rsidR="00436A84" w:rsidRPr="00FB0433">
        <w:rPr>
          <w:rFonts w:ascii="Arial" w:eastAsia="Arial Unicode MS" w:hAnsi="Arial" w:cs="Arial"/>
          <w:b/>
          <w:color w:val="000000"/>
          <w:u w:color="000000"/>
        </w:rPr>
        <w:t xml:space="preserve"> 2017 </w:t>
      </w:r>
    </w:p>
    <w:p w:rsidR="004027C2" w:rsidRPr="00AC6F09" w:rsidRDefault="004027C2" w:rsidP="00AC6F09">
      <w:pPr>
        <w:pStyle w:val="NormalWeb"/>
        <w:spacing w:line="276" w:lineRule="auto"/>
        <w:rPr>
          <w:rFonts w:ascii="Arial" w:hAnsi="Arial" w:cs="Arial"/>
        </w:rPr>
      </w:pPr>
      <w:r w:rsidRPr="00AC6F09">
        <w:rPr>
          <w:rFonts w:ascii="Arial" w:hAnsi="Arial" w:cs="Arial"/>
          <w:b/>
        </w:rPr>
        <w:t xml:space="preserve">Dr M J Cardo (DA) to ask the </w:t>
      </w:r>
      <w:r w:rsidRPr="00AC6F09">
        <w:rPr>
          <w:rFonts w:ascii="Arial" w:hAnsi="Arial" w:cs="Arial"/>
          <w:b/>
          <w:noProof/>
          <w:lang w:val="af-ZA"/>
        </w:rPr>
        <w:t>Minister</w:t>
      </w:r>
      <w:r w:rsidRPr="00AC6F09">
        <w:rPr>
          <w:rFonts w:ascii="Arial" w:hAnsi="Arial" w:cs="Arial"/>
          <w:b/>
        </w:rPr>
        <w:t xml:space="preserve"> of Economic Development:</w:t>
      </w:r>
    </w:p>
    <w:p w:rsidR="00AC6F09" w:rsidRPr="00AC6F09" w:rsidRDefault="00AC6F09" w:rsidP="00AC6F09">
      <w:pPr>
        <w:pStyle w:val="NormalWeb"/>
        <w:spacing w:line="276" w:lineRule="auto"/>
        <w:ind w:left="629" w:hanging="629"/>
        <w:jc w:val="both"/>
        <w:rPr>
          <w:rFonts w:ascii="Arial" w:hAnsi="Arial" w:cs="Arial"/>
        </w:rPr>
      </w:pPr>
      <w:r w:rsidRPr="00AC6F09">
        <w:rPr>
          <w:rFonts w:ascii="Arial" w:hAnsi="Arial" w:cs="Arial"/>
          <w:color w:val="000000"/>
        </w:rPr>
        <w:t xml:space="preserve"> (1)</w:t>
      </w:r>
      <w:r w:rsidRPr="00AC6F09">
        <w:rPr>
          <w:rFonts w:ascii="Arial" w:hAnsi="Arial" w:cs="Arial"/>
          <w:color w:val="000000"/>
        </w:rPr>
        <w:tab/>
        <w:t xml:space="preserve">Whether the </w:t>
      </w:r>
      <w:r w:rsidRPr="00AC6F09">
        <w:rPr>
          <w:rFonts w:ascii="Arial" w:hAnsi="Arial" w:cs="Arial"/>
        </w:rPr>
        <w:t>shareholders</w:t>
      </w:r>
      <w:r w:rsidRPr="00AC6F09">
        <w:rPr>
          <w:rFonts w:ascii="Arial" w:hAnsi="Arial" w:cs="Arial"/>
          <w:color w:val="000000"/>
        </w:rPr>
        <w:t xml:space="preserve"> of a certain company (name furnished) have any connection or link with any (a) member of and/or (b) associate of a certain family (name furnished); if so, what are the relevant details;</w:t>
      </w:r>
    </w:p>
    <w:p w:rsidR="00AC6F09" w:rsidRPr="00AC6F09" w:rsidRDefault="00AC6F09" w:rsidP="00AC6F09">
      <w:pPr>
        <w:pStyle w:val="NormalWeb"/>
        <w:spacing w:line="276" w:lineRule="auto"/>
        <w:ind w:left="629" w:hanging="629"/>
        <w:jc w:val="both"/>
        <w:rPr>
          <w:rFonts w:ascii="Arial" w:hAnsi="Arial" w:cs="Arial"/>
        </w:rPr>
      </w:pPr>
      <w:r w:rsidRPr="00AC6F09">
        <w:rPr>
          <w:rFonts w:ascii="Arial" w:hAnsi="Arial" w:cs="Arial"/>
          <w:color w:val="000000"/>
        </w:rPr>
        <w:t>(2)</w:t>
      </w:r>
      <w:r w:rsidRPr="00AC6F09">
        <w:rPr>
          <w:rFonts w:ascii="Arial" w:hAnsi="Arial" w:cs="Arial"/>
          <w:color w:val="000000"/>
        </w:rPr>
        <w:tab/>
        <w:t xml:space="preserve">whether any (a) member of and/or (b) associate of the specified family is a (i) shareholder or (ii) </w:t>
      </w:r>
      <w:r w:rsidRPr="00AC6F09">
        <w:rPr>
          <w:rFonts w:ascii="Arial" w:hAnsi="Arial" w:cs="Arial"/>
        </w:rPr>
        <w:t>beneficiary</w:t>
      </w:r>
      <w:r w:rsidRPr="00AC6F09">
        <w:rPr>
          <w:rFonts w:ascii="Arial" w:hAnsi="Arial" w:cs="Arial"/>
          <w:color w:val="000000"/>
        </w:rPr>
        <w:t xml:space="preserve"> of the specified company; if so, what are the relevant details</w:t>
      </w:r>
      <w:r w:rsidRPr="00AC6F09">
        <w:rPr>
          <w:rFonts w:ascii="Arial" w:hAnsi="Arial" w:cs="Arial"/>
        </w:rPr>
        <w:t>?</w:t>
      </w:r>
      <w:r w:rsidRPr="00AC6F09">
        <w:rPr>
          <w:rFonts w:ascii="Arial" w:hAnsi="Arial" w:cs="Arial"/>
        </w:rPr>
        <w:tab/>
      </w:r>
      <w:r w:rsidRPr="00AC6F09">
        <w:rPr>
          <w:rFonts w:ascii="Arial" w:hAnsi="Arial" w:cs="Arial"/>
        </w:rPr>
        <w:tab/>
      </w:r>
      <w:r w:rsidRPr="00AC6F09">
        <w:rPr>
          <w:rFonts w:ascii="Arial" w:hAnsi="Arial" w:cs="Arial"/>
        </w:rPr>
        <w:tab/>
      </w:r>
      <w:r w:rsidRPr="00AC6F09">
        <w:rPr>
          <w:rFonts w:ascii="Arial" w:hAnsi="Arial" w:cs="Arial"/>
        </w:rPr>
        <w:tab/>
      </w:r>
      <w:r w:rsidRPr="00AC6F09">
        <w:rPr>
          <w:rFonts w:ascii="Arial" w:hAnsi="Arial" w:cs="Arial"/>
        </w:rPr>
        <w:tab/>
      </w:r>
      <w:r w:rsidRPr="00AC6F09">
        <w:rPr>
          <w:rFonts w:ascii="Arial" w:hAnsi="Arial" w:cs="Arial"/>
        </w:rPr>
        <w:tab/>
      </w:r>
      <w:r w:rsidRPr="00AC6F09">
        <w:rPr>
          <w:rFonts w:ascii="Arial" w:hAnsi="Arial" w:cs="Arial"/>
        </w:rPr>
        <w:tab/>
        <w:t>NW4107E</w:t>
      </w:r>
    </w:p>
    <w:p w:rsidR="00436A84" w:rsidRPr="00AC6F09" w:rsidRDefault="00436A84" w:rsidP="00AC6F09">
      <w:pPr>
        <w:spacing w:line="276" w:lineRule="auto"/>
        <w:jc w:val="both"/>
        <w:outlineLvl w:val="0"/>
        <w:rPr>
          <w:rFonts w:ascii="Arial" w:hAnsi="Arial" w:cs="Arial"/>
        </w:rPr>
      </w:pPr>
      <w:r w:rsidRPr="00AC6F09">
        <w:rPr>
          <w:rFonts w:ascii="Arial" w:hAnsi="Arial" w:cs="Arial"/>
        </w:rPr>
        <w:tab/>
        <w:t xml:space="preserve">        </w:t>
      </w:r>
    </w:p>
    <w:p w:rsidR="00150B15" w:rsidRPr="00AC6F09" w:rsidRDefault="00150B15" w:rsidP="00AC6F09">
      <w:pPr>
        <w:spacing w:line="276" w:lineRule="auto"/>
        <w:jc w:val="both"/>
        <w:outlineLvl w:val="0"/>
        <w:rPr>
          <w:rFonts w:ascii="Arial" w:eastAsia="Arial Unicode MS" w:hAnsi="Arial" w:cs="Arial"/>
          <w:b/>
          <w:color w:val="000000"/>
          <w:u w:color="000000"/>
        </w:rPr>
      </w:pPr>
      <w:r w:rsidRPr="00AC6F09">
        <w:rPr>
          <w:rFonts w:ascii="Arial" w:eastAsia="Arial Unicode MS" w:hAnsi="Arial" w:cs="Arial"/>
          <w:b/>
          <w:color w:val="000000"/>
          <w:u w:color="000000"/>
        </w:rPr>
        <w:t>REPLY</w:t>
      </w:r>
    </w:p>
    <w:p w:rsidR="00EE3629" w:rsidRPr="00AC6F09" w:rsidRDefault="00EE3629" w:rsidP="00AC6F09">
      <w:pPr>
        <w:spacing w:line="276" w:lineRule="auto"/>
        <w:jc w:val="both"/>
        <w:outlineLvl w:val="0"/>
        <w:rPr>
          <w:rFonts w:ascii="Arial" w:eastAsia="Arial Unicode MS" w:hAnsi="Arial" w:cs="Arial"/>
          <w:b/>
          <w:color w:val="000000"/>
          <w:u w:color="000000"/>
        </w:rPr>
      </w:pPr>
    </w:p>
    <w:p w:rsidR="00EE3629" w:rsidRPr="00AC6F09" w:rsidRDefault="00EE3629" w:rsidP="00AC6F09">
      <w:pPr>
        <w:spacing w:line="276" w:lineRule="auto"/>
        <w:jc w:val="both"/>
        <w:outlineLvl w:val="0"/>
        <w:rPr>
          <w:rFonts w:ascii="Arial" w:eastAsia="Arial Unicode MS" w:hAnsi="Arial" w:cs="Arial"/>
          <w:color w:val="000000"/>
          <w:u w:color="000000"/>
        </w:rPr>
      </w:pPr>
      <w:r w:rsidRPr="00AC6F09">
        <w:rPr>
          <w:rFonts w:ascii="Arial" w:eastAsia="Arial Unicode MS" w:hAnsi="Arial" w:cs="Arial"/>
          <w:color w:val="000000"/>
          <w:u w:color="000000"/>
        </w:rPr>
        <w:t xml:space="preserve">I have been furnished with a reply by the CEO of the IDC, Mr Geoffrey Qhena, to the question, which follows below. </w:t>
      </w:r>
    </w:p>
    <w:p w:rsidR="004027C2" w:rsidRPr="00AC6F09" w:rsidRDefault="004027C2" w:rsidP="00AC6F09">
      <w:pPr>
        <w:spacing w:line="276" w:lineRule="auto"/>
        <w:jc w:val="both"/>
        <w:rPr>
          <w:rFonts w:ascii="Arial" w:hAnsi="Arial" w:cs="Arial"/>
          <w:b/>
          <w:bCs/>
          <w:color w:val="000000"/>
          <w:lang w:val="en-ZA" w:eastAsia="en-ZA"/>
        </w:rPr>
      </w:pPr>
    </w:p>
    <w:p w:rsidR="00EA6810" w:rsidRPr="00EA6810" w:rsidRDefault="00DB617E" w:rsidP="00EA6810">
      <w:pPr>
        <w:widowControl w:val="0"/>
        <w:kinsoku w:val="0"/>
        <w:overflowPunct w:val="0"/>
        <w:autoSpaceDE w:val="0"/>
        <w:autoSpaceDN w:val="0"/>
        <w:adjustRightInd w:val="0"/>
        <w:spacing w:line="276" w:lineRule="auto"/>
        <w:ind w:right="226"/>
        <w:jc w:val="both"/>
        <w:rPr>
          <w:rFonts w:ascii="Arial" w:hAnsi="Arial" w:cs="Arial"/>
          <w:lang w:val="af-ZA" w:eastAsia="en-ZA"/>
        </w:rPr>
      </w:pPr>
      <w:r>
        <w:rPr>
          <w:rFonts w:ascii="Arial" w:hAnsi="Arial" w:cs="Arial"/>
          <w:lang w:val="af-ZA" w:eastAsia="en-ZA"/>
        </w:rPr>
        <w:t>“</w:t>
      </w:r>
      <w:r w:rsidR="00EA6810">
        <w:rPr>
          <w:rFonts w:ascii="Arial" w:hAnsi="Arial" w:cs="Arial"/>
          <w:lang w:val="af-ZA" w:eastAsia="en-ZA"/>
        </w:rPr>
        <w:t>T</w:t>
      </w:r>
      <w:r w:rsidR="00EA6810" w:rsidRPr="00EA6810">
        <w:rPr>
          <w:rFonts w:ascii="Arial" w:hAnsi="Arial" w:cs="Arial"/>
          <w:lang w:val="af-ZA" w:eastAsia="en-ZA"/>
        </w:rPr>
        <w:t>here are no known members of the Gupta family that are Shareholders at Foskor. Historically the IDC has not been aware of any links by the Foskor Shareholders to the Gupta family.</w:t>
      </w:r>
    </w:p>
    <w:p w:rsidR="00EA6810" w:rsidRPr="00EA6810" w:rsidRDefault="00EA6810" w:rsidP="00EA6810">
      <w:pPr>
        <w:widowControl w:val="0"/>
        <w:kinsoku w:val="0"/>
        <w:overflowPunct w:val="0"/>
        <w:autoSpaceDE w:val="0"/>
        <w:autoSpaceDN w:val="0"/>
        <w:adjustRightInd w:val="0"/>
        <w:spacing w:line="276" w:lineRule="auto"/>
        <w:ind w:right="226"/>
        <w:jc w:val="both"/>
        <w:rPr>
          <w:rFonts w:ascii="Arial" w:hAnsi="Arial" w:cs="Arial"/>
          <w:lang w:val="af-ZA" w:eastAsia="en-ZA"/>
        </w:rPr>
      </w:pPr>
    </w:p>
    <w:p w:rsidR="00EA6810" w:rsidRDefault="00EA6810" w:rsidP="00EA6810">
      <w:pPr>
        <w:widowControl w:val="0"/>
        <w:kinsoku w:val="0"/>
        <w:overflowPunct w:val="0"/>
        <w:autoSpaceDE w:val="0"/>
        <w:autoSpaceDN w:val="0"/>
        <w:adjustRightInd w:val="0"/>
        <w:spacing w:line="276" w:lineRule="auto"/>
        <w:ind w:right="226"/>
        <w:jc w:val="both"/>
        <w:rPr>
          <w:rFonts w:ascii="Arial" w:hAnsi="Arial" w:cs="Arial"/>
          <w:lang w:val="en-ZA" w:eastAsia="en-ZA"/>
        </w:rPr>
      </w:pPr>
      <w:r w:rsidRPr="00EA6810">
        <w:rPr>
          <w:rFonts w:ascii="Arial" w:hAnsi="Arial" w:cs="Arial"/>
          <w:lang w:val="af-ZA" w:eastAsia="en-ZA"/>
        </w:rPr>
        <w:t xml:space="preserve">Subsequent to the parliamentary question to the IDC, an extensive search to establish any links was undertaken.This search revealed no link to </w:t>
      </w:r>
      <w:r w:rsidRPr="00EA6810">
        <w:rPr>
          <w:rFonts w:ascii="Arial" w:hAnsi="Arial" w:cs="Arial"/>
          <w:lang w:val="en-ZA" w:eastAsia="en-ZA"/>
        </w:rPr>
        <w:t xml:space="preserve">Coromandel International Limited, Sun International (FZE) Dubai, Kopano Foskor Employees Trust (SPV 3) and Ba-phalaborwa and Umhlathuze Community Trust (SPV 2). A link was however established </w:t>
      </w:r>
      <w:r w:rsidR="00DB617E">
        <w:rPr>
          <w:rFonts w:ascii="Arial" w:hAnsi="Arial" w:cs="Arial"/>
          <w:lang w:val="en-ZA" w:eastAsia="en-ZA"/>
        </w:rPr>
        <w:t xml:space="preserve">with </w:t>
      </w:r>
      <w:r w:rsidRPr="00EA6810">
        <w:rPr>
          <w:rFonts w:ascii="Arial" w:hAnsi="Arial" w:cs="Arial"/>
          <w:lang w:val="en-ZA" w:eastAsia="en-ZA"/>
        </w:rPr>
        <w:t xml:space="preserve">the Manyoro Consortium (SPV1). </w:t>
      </w:r>
    </w:p>
    <w:p w:rsidR="00DB617E" w:rsidRPr="00EA6810" w:rsidRDefault="00DB617E" w:rsidP="00EA6810">
      <w:pPr>
        <w:widowControl w:val="0"/>
        <w:kinsoku w:val="0"/>
        <w:overflowPunct w:val="0"/>
        <w:autoSpaceDE w:val="0"/>
        <w:autoSpaceDN w:val="0"/>
        <w:adjustRightInd w:val="0"/>
        <w:spacing w:line="276" w:lineRule="auto"/>
        <w:ind w:right="226"/>
        <w:jc w:val="both"/>
        <w:rPr>
          <w:rFonts w:ascii="Arial" w:hAnsi="Arial" w:cs="Arial"/>
          <w:lang w:val="en-ZA" w:eastAsia="en-ZA"/>
        </w:rPr>
      </w:pPr>
    </w:p>
    <w:p w:rsidR="00EA6810" w:rsidRPr="00EA6810" w:rsidRDefault="00EA6810" w:rsidP="00EA6810">
      <w:pPr>
        <w:widowControl w:val="0"/>
        <w:kinsoku w:val="0"/>
        <w:overflowPunct w:val="0"/>
        <w:autoSpaceDE w:val="0"/>
        <w:autoSpaceDN w:val="0"/>
        <w:adjustRightInd w:val="0"/>
        <w:spacing w:line="276" w:lineRule="auto"/>
        <w:ind w:right="226"/>
        <w:jc w:val="both"/>
        <w:rPr>
          <w:rFonts w:ascii="Arial" w:hAnsi="Arial" w:cs="Arial"/>
          <w:lang w:val="en-ZA" w:eastAsia="en-ZA"/>
        </w:rPr>
      </w:pPr>
      <w:r w:rsidRPr="00EA6810">
        <w:rPr>
          <w:rFonts w:ascii="Arial" w:hAnsi="Arial" w:cs="Arial"/>
          <w:lang w:val="en-ZA" w:eastAsia="en-ZA"/>
        </w:rPr>
        <w:lastRenderedPageBreak/>
        <w:t>To our knowledge, a possible connection is that of a Ms R Govender, with an ultimate indirect percentage in Foskor of 0,23% of the equity via the Manyoro Consortium. The consortium is a broadly held BEE entity. Ms R Govender is not inv</w:t>
      </w:r>
      <w:r w:rsidR="00CA6F08">
        <w:rPr>
          <w:rFonts w:ascii="Arial" w:hAnsi="Arial" w:cs="Arial"/>
          <w:lang w:val="en-ZA" w:eastAsia="en-ZA"/>
        </w:rPr>
        <w:t>olved in Foskor operations. F</w:t>
      </w:r>
      <w:r w:rsidR="00DB617E">
        <w:rPr>
          <w:rFonts w:ascii="Arial" w:hAnsi="Arial" w:cs="Arial"/>
          <w:lang w:val="en-ZA" w:eastAsia="en-ZA"/>
        </w:rPr>
        <w:t>ollow</w:t>
      </w:r>
      <w:r w:rsidR="00CA6F08">
        <w:rPr>
          <w:rFonts w:ascii="Arial" w:hAnsi="Arial" w:cs="Arial"/>
          <w:lang w:val="en-ZA" w:eastAsia="en-ZA"/>
        </w:rPr>
        <w:t xml:space="preserve">ing the parliamentary question we have since established </w:t>
      </w:r>
      <w:r w:rsidR="00DB617E">
        <w:rPr>
          <w:rFonts w:ascii="Arial" w:hAnsi="Arial" w:cs="Arial"/>
          <w:lang w:val="en-ZA" w:eastAsia="en-ZA"/>
        </w:rPr>
        <w:t xml:space="preserve">that she </w:t>
      </w:r>
      <w:r w:rsidRPr="00EA6810">
        <w:rPr>
          <w:rFonts w:ascii="Arial" w:hAnsi="Arial" w:cs="Arial"/>
          <w:lang w:val="en-ZA" w:eastAsia="en-ZA"/>
        </w:rPr>
        <w:t>serves as a director in companies with Gupta family shareholding.</w:t>
      </w:r>
      <w:r w:rsidR="00DB617E">
        <w:rPr>
          <w:rFonts w:ascii="Arial" w:hAnsi="Arial" w:cs="Arial"/>
          <w:lang w:val="en-ZA" w:eastAsia="en-ZA"/>
        </w:rPr>
        <w:t>”</w:t>
      </w:r>
    </w:p>
    <w:p w:rsidR="00DB617E" w:rsidRDefault="00DB617E" w:rsidP="00EA6810">
      <w:pPr>
        <w:widowControl w:val="0"/>
        <w:kinsoku w:val="0"/>
        <w:overflowPunct w:val="0"/>
        <w:autoSpaceDE w:val="0"/>
        <w:autoSpaceDN w:val="0"/>
        <w:adjustRightInd w:val="0"/>
        <w:spacing w:line="276" w:lineRule="auto"/>
        <w:ind w:right="226"/>
        <w:jc w:val="both"/>
        <w:rPr>
          <w:rFonts w:ascii="Arial" w:hAnsi="Arial" w:cs="Arial"/>
          <w:lang w:val="en-ZA" w:eastAsia="en-ZA"/>
        </w:rPr>
      </w:pPr>
    </w:p>
    <w:p w:rsidR="00DB617E" w:rsidRDefault="00DB617E" w:rsidP="00EA6810">
      <w:pPr>
        <w:widowControl w:val="0"/>
        <w:kinsoku w:val="0"/>
        <w:overflowPunct w:val="0"/>
        <w:autoSpaceDE w:val="0"/>
        <w:autoSpaceDN w:val="0"/>
        <w:adjustRightInd w:val="0"/>
        <w:spacing w:line="276" w:lineRule="auto"/>
        <w:ind w:right="226"/>
        <w:jc w:val="both"/>
        <w:rPr>
          <w:rFonts w:ascii="Arial" w:hAnsi="Arial" w:cs="Arial"/>
          <w:lang w:val="en-ZA" w:eastAsia="en-ZA"/>
        </w:rPr>
      </w:pPr>
      <w:r>
        <w:rPr>
          <w:rFonts w:ascii="Arial" w:hAnsi="Arial" w:cs="Arial"/>
          <w:lang w:val="en-ZA" w:eastAsia="en-ZA"/>
        </w:rPr>
        <w:t xml:space="preserve">Mr </w:t>
      </w:r>
      <w:r w:rsidR="00CA6F08">
        <w:rPr>
          <w:rFonts w:ascii="Arial" w:hAnsi="Arial" w:cs="Arial"/>
          <w:lang w:val="en-ZA" w:eastAsia="en-ZA"/>
        </w:rPr>
        <w:t>M</w:t>
      </w:r>
      <w:r>
        <w:rPr>
          <w:rFonts w:ascii="Arial" w:hAnsi="Arial" w:cs="Arial"/>
          <w:lang w:val="en-ZA" w:eastAsia="en-ZA"/>
        </w:rPr>
        <w:t>G</w:t>
      </w:r>
      <w:r w:rsidR="00CA6F08">
        <w:rPr>
          <w:rFonts w:ascii="Arial" w:hAnsi="Arial" w:cs="Arial"/>
          <w:lang w:val="en-ZA" w:eastAsia="en-ZA"/>
        </w:rPr>
        <w:t xml:space="preserve"> Qhena, IDC Chief Executive Officer</w:t>
      </w:r>
      <w:r>
        <w:rPr>
          <w:rFonts w:ascii="Arial" w:hAnsi="Arial" w:cs="Arial"/>
          <w:lang w:val="en-ZA" w:eastAsia="en-ZA"/>
        </w:rPr>
        <w:t xml:space="preserve">, </w:t>
      </w:r>
      <w:r w:rsidR="00CA6F08">
        <w:rPr>
          <w:rFonts w:ascii="Arial" w:hAnsi="Arial" w:cs="Arial"/>
          <w:lang w:val="en-ZA" w:eastAsia="en-ZA"/>
        </w:rPr>
        <w:t xml:space="preserve">1 </w:t>
      </w:r>
      <w:r>
        <w:rPr>
          <w:rFonts w:ascii="Arial" w:hAnsi="Arial" w:cs="Arial"/>
          <w:lang w:val="en-ZA" w:eastAsia="en-ZA"/>
        </w:rPr>
        <w:t>December 2017</w:t>
      </w:r>
    </w:p>
    <w:p w:rsidR="00DB617E" w:rsidRPr="00EA6810" w:rsidRDefault="00DB617E" w:rsidP="00EA6810">
      <w:pPr>
        <w:widowControl w:val="0"/>
        <w:kinsoku w:val="0"/>
        <w:overflowPunct w:val="0"/>
        <w:autoSpaceDE w:val="0"/>
        <w:autoSpaceDN w:val="0"/>
        <w:adjustRightInd w:val="0"/>
        <w:spacing w:line="276" w:lineRule="auto"/>
        <w:ind w:right="226"/>
        <w:jc w:val="both"/>
        <w:rPr>
          <w:rFonts w:ascii="Arial" w:hAnsi="Arial" w:cs="Arial"/>
          <w:lang w:val="en-ZA" w:eastAsia="en-ZA"/>
        </w:rPr>
      </w:pPr>
    </w:p>
    <w:p w:rsidR="00EA6810" w:rsidRPr="00EA6810" w:rsidRDefault="00DB617E" w:rsidP="00EA6810">
      <w:pPr>
        <w:widowControl w:val="0"/>
        <w:kinsoku w:val="0"/>
        <w:overflowPunct w:val="0"/>
        <w:autoSpaceDE w:val="0"/>
        <w:autoSpaceDN w:val="0"/>
        <w:adjustRightInd w:val="0"/>
        <w:spacing w:line="276" w:lineRule="auto"/>
        <w:jc w:val="both"/>
        <w:rPr>
          <w:rFonts w:ascii="Arial" w:hAnsi="Arial" w:cs="Arial"/>
          <w:lang w:val="en-ZA" w:eastAsia="en-ZA"/>
        </w:rPr>
      </w:pPr>
      <w:r>
        <w:rPr>
          <w:rFonts w:ascii="Arial" w:hAnsi="Arial" w:cs="Arial"/>
          <w:lang w:val="en-ZA" w:eastAsia="en-ZA"/>
        </w:rPr>
        <w:t>For further information, a</w:t>
      </w:r>
      <w:r w:rsidR="00EA6810" w:rsidRPr="00EA6810">
        <w:rPr>
          <w:rFonts w:ascii="Arial" w:hAnsi="Arial" w:cs="Arial"/>
          <w:lang w:val="en-ZA" w:eastAsia="en-ZA"/>
        </w:rPr>
        <w:t xml:space="preserve"> list of Foskor Shareholders is tabulated below.</w:t>
      </w:r>
    </w:p>
    <w:p w:rsidR="00EA6810" w:rsidRPr="00EA6810" w:rsidRDefault="00EA6810" w:rsidP="00EA6810">
      <w:pPr>
        <w:widowControl w:val="0"/>
        <w:kinsoku w:val="0"/>
        <w:overflowPunct w:val="0"/>
        <w:autoSpaceDE w:val="0"/>
        <w:autoSpaceDN w:val="0"/>
        <w:adjustRightInd w:val="0"/>
        <w:spacing w:line="276" w:lineRule="auto"/>
        <w:jc w:val="both"/>
        <w:rPr>
          <w:rFonts w:ascii="Arial" w:hAnsi="Arial" w:cs="Arial"/>
          <w:lang w:val="en-ZA" w:eastAsia="en-ZA"/>
        </w:rPr>
      </w:pPr>
    </w:p>
    <w:p w:rsidR="00EA6810" w:rsidRPr="00EA6810" w:rsidRDefault="00EA6810" w:rsidP="00EA6810">
      <w:pPr>
        <w:widowControl w:val="0"/>
        <w:kinsoku w:val="0"/>
        <w:overflowPunct w:val="0"/>
        <w:autoSpaceDE w:val="0"/>
        <w:autoSpaceDN w:val="0"/>
        <w:adjustRightInd w:val="0"/>
        <w:spacing w:line="276" w:lineRule="auto"/>
        <w:jc w:val="both"/>
        <w:rPr>
          <w:rFonts w:ascii="Arial" w:hAnsi="Arial" w:cs="Arial"/>
          <w:lang w:val="en-ZA" w:eastAsia="en-ZA"/>
        </w:rPr>
      </w:pPr>
    </w:p>
    <w:tbl>
      <w:tblPr>
        <w:tblW w:w="7282" w:type="dxa"/>
        <w:tblInd w:w="646" w:type="dxa"/>
        <w:tblLayout w:type="fixed"/>
        <w:tblCellMar>
          <w:left w:w="0" w:type="dxa"/>
          <w:right w:w="0" w:type="dxa"/>
        </w:tblCellMar>
        <w:tblLook w:val="0000"/>
      </w:tblPr>
      <w:tblGrid>
        <w:gridCol w:w="5396"/>
        <w:gridCol w:w="1886"/>
      </w:tblGrid>
      <w:tr w:rsidR="00EA6810" w:rsidRPr="00EA6810" w:rsidTr="006F5C76">
        <w:trPr>
          <w:trHeight w:val="340"/>
        </w:trPr>
        <w:tc>
          <w:tcPr>
            <w:tcW w:w="539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7"/>
              <w:jc w:val="both"/>
              <w:rPr>
                <w:rFonts w:ascii="Arial" w:hAnsi="Arial" w:cs="Arial"/>
                <w:lang w:val="en-ZA" w:eastAsia="en-ZA"/>
              </w:rPr>
            </w:pPr>
            <w:r w:rsidRPr="00EA6810">
              <w:rPr>
                <w:rFonts w:ascii="Arial" w:hAnsi="Arial" w:cs="Arial"/>
                <w:lang w:val="en-ZA" w:eastAsia="en-ZA"/>
              </w:rPr>
              <w:t>Industrial Development Corporation Ltd</w:t>
            </w:r>
          </w:p>
        </w:tc>
        <w:tc>
          <w:tcPr>
            <w:tcW w:w="188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5" w:right="98"/>
              <w:jc w:val="both"/>
              <w:rPr>
                <w:rFonts w:ascii="Arial" w:hAnsi="Arial" w:cs="Arial"/>
                <w:lang w:val="en-ZA" w:eastAsia="en-ZA"/>
              </w:rPr>
            </w:pPr>
            <w:r w:rsidRPr="00EA6810">
              <w:rPr>
                <w:rFonts w:ascii="Arial" w:hAnsi="Arial" w:cs="Arial"/>
                <w:lang w:val="en-ZA" w:eastAsia="en-ZA"/>
              </w:rPr>
              <w:t>59%</w:t>
            </w:r>
          </w:p>
        </w:tc>
      </w:tr>
      <w:tr w:rsidR="00EA6810" w:rsidRPr="00EA6810" w:rsidTr="006F5C76">
        <w:trPr>
          <w:trHeight w:val="1020"/>
        </w:trPr>
        <w:tc>
          <w:tcPr>
            <w:tcW w:w="539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7"/>
              <w:jc w:val="both"/>
              <w:rPr>
                <w:rFonts w:ascii="Arial" w:hAnsi="Arial" w:cs="Arial"/>
                <w:lang w:val="en-ZA" w:eastAsia="en-ZA"/>
              </w:rPr>
            </w:pPr>
            <w:r w:rsidRPr="00EA6810">
              <w:rPr>
                <w:rFonts w:ascii="Arial" w:hAnsi="Arial" w:cs="Arial"/>
                <w:lang w:val="en-ZA" w:eastAsia="en-ZA"/>
              </w:rPr>
              <w:t>“Coromandel” under the following legal entities:</w:t>
            </w:r>
          </w:p>
          <w:p w:rsidR="00EA6810" w:rsidRPr="00EA6810" w:rsidRDefault="00EA6810" w:rsidP="00EA6810">
            <w:pPr>
              <w:widowControl w:val="0"/>
              <w:numPr>
                <w:ilvl w:val="0"/>
                <w:numId w:val="11"/>
              </w:numPr>
              <w:tabs>
                <w:tab w:val="left" w:pos="607"/>
              </w:tabs>
              <w:kinsoku w:val="0"/>
              <w:overflowPunct w:val="0"/>
              <w:autoSpaceDE w:val="0"/>
              <w:autoSpaceDN w:val="0"/>
              <w:adjustRightInd w:val="0"/>
              <w:spacing w:line="276" w:lineRule="auto"/>
              <w:ind w:hanging="122"/>
              <w:jc w:val="both"/>
              <w:rPr>
                <w:rFonts w:ascii="Arial" w:hAnsi="Arial" w:cs="Arial"/>
                <w:lang w:val="en-ZA" w:eastAsia="en-ZA"/>
              </w:rPr>
            </w:pPr>
            <w:r w:rsidRPr="00EA6810">
              <w:rPr>
                <w:rFonts w:ascii="Arial" w:hAnsi="Arial" w:cs="Arial"/>
                <w:lang w:val="en-ZA" w:eastAsia="en-ZA"/>
              </w:rPr>
              <w:t>Coromandel International Limited</w:t>
            </w:r>
            <w:r w:rsidRPr="00EA6810">
              <w:rPr>
                <w:rFonts w:ascii="Arial" w:hAnsi="Arial" w:cs="Arial"/>
                <w:spacing w:val="-9"/>
                <w:lang w:val="en-ZA" w:eastAsia="en-ZA"/>
              </w:rPr>
              <w:t xml:space="preserve"> </w:t>
            </w:r>
            <w:r w:rsidRPr="00EA6810">
              <w:rPr>
                <w:rFonts w:ascii="Arial" w:hAnsi="Arial" w:cs="Arial"/>
                <w:lang w:val="en-ZA" w:eastAsia="en-ZA"/>
              </w:rPr>
              <w:t>(2.82%)</w:t>
            </w:r>
          </w:p>
          <w:p w:rsidR="00EA6810" w:rsidRPr="00EA6810" w:rsidRDefault="00EA6810" w:rsidP="00EA6810">
            <w:pPr>
              <w:widowControl w:val="0"/>
              <w:numPr>
                <w:ilvl w:val="0"/>
                <w:numId w:val="11"/>
              </w:numPr>
              <w:tabs>
                <w:tab w:val="left" w:pos="607"/>
              </w:tabs>
              <w:kinsoku w:val="0"/>
              <w:overflowPunct w:val="0"/>
              <w:autoSpaceDE w:val="0"/>
              <w:autoSpaceDN w:val="0"/>
              <w:adjustRightInd w:val="0"/>
              <w:spacing w:line="276" w:lineRule="auto"/>
              <w:ind w:hanging="122"/>
              <w:jc w:val="both"/>
              <w:rPr>
                <w:rFonts w:ascii="Arial" w:hAnsi="Arial" w:cs="Arial"/>
                <w:lang w:val="en-ZA" w:eastAsia="en-ZA"/>
              </w:rPr>
            </w:pPr>
            <w:r w:rsidRPr="00EA6810">
              <w:rPr>
                <w:rFonts w:ascii="Arial" w:hAnsi="Arial" w:cs="Arial"/>
                <w:lang w:val="en-ZA" w:eastAsia="en-ZA"/>
              </w:rPr>
              <w:t>CFL Mauritius Limited</w:t>
            </w:r>
            <w:r w:rsidRPr="00EA6810">
              <w:rPr>
                <w:rFonts w:ascii="Arial" w:hAnsi="Arial" w:cs="Arial"/>
                <w:spacing w:val="-5"/>
                <w:lang w:val="en-ZA" w:eastAsia="en-ZA"/>
              </w:rPr>
              <w:t xml:space="preserve"> </w:t>
            </w:r>
            <w:r w:rsidRPr="00EA6810">
              <w:rPr>
                <w:rFonts w:ascii="Arial" w:hAnsi="Arial" w:cs="Arial"/>
                <w:lang w:val="en-ZA" w:eastAsia="en-ZA"/>
              </w:rPr>
              <w:t>(11.82%)</w:t>
            </w:r>
          </w:p>
        </w:tc>
        <w:tc>
          <w:tcPr>
            <w:tcW w:w="188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5" w:right="98"/>
              <w:jc w:val="both"/>
              <w:rPr>
                <w:rFonts w:ascii="Arial" w:hAnsi="Arial" w:cs="Arial"/>
                <w:lang w:val="en-ZA" w:eastAsia="en-ZA"/>
              </w:rPr>
            </w:pPr>
            <w:r w:rsidRPr="00EA6810">
              <w:rPr>
                <w:rFonts w:ascii="Arial" w:hAnsi="Arial" w:cs="Arial"/>
                <w:lang w:val="en-ZA" w:eastAsia="en-ZA"/>
              </w:rPr>
              <w:t>14%</w:t>
            </w:r>
          </w:p>
        </w:tc>
      </w:tr>
      <w:tr w:rsidR="00EA6810" w:rsidRPr="00EA6810" w:rsidTr="006F5C76">
        <w:trPr>
          <w:trHeight w:val="340"/>
        </w:trPr>
        <w:tc>
          <w:tcPr>
            <w:tcW w:w="539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7"/>
              <w:jc w:val="both"/>
              <w:rPr>
                <w:rFonts w:ascii="Arial" w:hAnsi="Arial" w:cs="Arial"/>
                <w:lang w:val="en-ZA" w:eastAsia="en-ZA"/>
              </w:rPr>
            </w:pPr>
            <w:r w:rsidRPr="00EA6810">
              <w:rPr>
                <w:rFonts w:ascii="Arial" w:hAnsi="Arial" w:cs="Arial"/>
                <w:lang w:val="en-ZA" w:eastAsia="en-ZA"/>
              </w:rPr>
              <w:t>Sun International (FZE) Dubai</w:t>
            </w:r>
          </w:p>
        </w:tc>
        <w:tc>
          <w:tcPr>
            <w:tcW w:w="188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5" w:right="98"/>
              <w:jc w:val="both"/>
              <w:rPr>
                <w:rFonts w:ascii="Arial" w:hAnsi="Arial" w:cs="Arial"/>
                <w:lang w:val="en-ZA" w:eastAsia="en-ZA"/>
              </w:rPr>
            </w:pPr>
            <w:r w:rsidRPr="00EA6810">
              <w:rPr>
                <w:rFonts w:ascii="Arial" w:hAnsi="Arial" w:cs="Arial"/>
                <w:lang w:val="en-ZA" w:eastAsia="en-ZA"/>
              </w:rPr>
              <w:t>1%</w:t>
            </w:r>
          </w:p>
        </w:tc>
      </w:tr>
      <w:tr w:rsidR="00EA6810" w:rsidRPr="00EA6810" w:rsidTr="006F5C76">
        <w:trPr>
          <w:trHeight w:val="340"/>
        </w:trPr>
        <w:tc>
          <w:tcPr>
            <w:tcW w:w="539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7"/>
              <w:jc w:val="both"/>
              <w:rPr>
                <w:rFonts w:ascii="Arial" w:hAnsi="Arial" w:cs="Arial"/>
                <w:lang w:val="en-ZA" w:eastAsia="en-ZA"/>
              </w:rPr>
            </w:pPr>
            <w:r w:rsidRPr="00EA6810">
              <w:rPr>
                <w:rFonts w:ascii="Arial" w:hAnsi="Arial" w:cs="Arial"/>
                <w:lang w:val="en-ZA" w:eastAsia="en-ZA"/>
              </w:rPr>
              <w:t>Manyoro Consortium (SPV 1)</w:t>
            </w:r>
          </w:p>
        </w:tc>
        <w:tc>
          <w:tcPr>
            <w:tcW w:w="188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5" w:right="98"/>
              <w:jc w:val="both"/>
              <w:rPr>
                <w:rFonts w:ascii="Arial" w:hAnsi="Arial" w:cs="Arial"/>
                <w:lang w:val="en-ZA" w:eastAsia="en-ZA"/>
              </w:rPr>
            </w:pPr>
            <w:r w:rsidRPr="00EA6810">
              <w:rPr>
                <w:rFonts w:ascii="Arial" w:hAnsi="Arial" w:cs="Arial"/>
                <w:lang w:val="en-ZA" w:eastAsia="en-ZA"/>
              </w:rPr>
              <w:t>15%</w:t>
            </w:r>
          </w:p>
        </w:tc>
      </w:tr>
      <w:tr w:rsidR="00EA6810" w:rsidRPr="00EA6810" w:rsidTr="006F5C76">
        <w:trPr>
          <w:trHeight w:val="340"/>
        </w:trPr>
        <w:tc>
          <w:tcPr>
            <w:tcW w:w="539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7"/>
              <w:jc w:val="both"/>
              <w:rPr>
                <w:rFonts w:ascii="Arial" w:hAnsi="Arial" w:cs="Arial"/>
                <w:lang w:val="en-ZA" w:eastAsia="en-ZA"/>
              </w:rPr>
            </w:pPr>
            <w:r w:rsidRPr="00EA6810">
              <w:rPr>
                <w:rFonts w:ascii="Arial" w:hAnsi="Arial" w:cs="Arial"/>
                <w:lang w:val="en-ZA" w:eastAsia="en-ZA"/>
              </w:rPr>
              <w:t>Kopano Foskor Employees Trust (SPV 3)</w:t>
            </w:r>
          </w:p>
        </w:tc>
        <w:tc>
          <w:tcPr>
            <w:tcW w:w="188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5" w:right="98"/>
              <w:jc w:val="both"/>
              <w:rPr>
                <w:rFonts w:ascii="Arial" w:hAnsi="Arial" w:cs="Arial"/>
                <w:lang w:val="en-ZA" w:eastAsia="en-ZA"/>
              </w:rPr>
            </w:pPr>
            <w:r w:rsidRPr="00EA6810">
              <w:rPr>
                <w:rFonts w:ascii="Arial" w:hAnsi="Arial" w:cs="Arial"/>
                <w:lang w:val="en-ZA" w:eastAsia="en-ZA"/>
              </w:rPr>
              <w:t>6%</w:t>
            </w:r>
          </w:p>
        </w:tc>
      </w:tr>
      <w:tr w:rsidR="00EA6810" w:rsidRPr="00EA6810" w:rsidTr="006F5C76">
        <w:trPr>
          <w:trHeight w:val="340"/>
        </w:trPr>
        <w:tc>
          <w:tcPr>
            <w:tcW w:w="539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7"/>
              <w:jc w:val="both"/>
              <w:rPr>
                <w:rFonts w:ascii="Arial" w:hAnsi="Arial" w:cs="Arial"/>
                <w:lang w:val="en-ZA" w:eastAsia="en-ZA"/>
              </w:rPr>
            </w:pPr>
            <w:r w:rsidRPr="00EA6810">
              <w:rPr>
                <w:rFonts w:ascii="Arial" w:hAnsi="Arial" w:cs="Arial"/>
                <w:lang w:val="en-ZA" w:eastAsia="en-ZA"/>
              </w:rPr>
              <w:t>Ba-phalaborwa and Umhlathuze Community Trust (SPV 2)</w:t>
            </w:r>
          </w:p>
        </w:tc>
        <w:tc>
          <w:tcPr>
            <w:tcW w:w="1886" w:type="dxa"/>
            <w:tcBorders>
              <w:top w:val="single" w:sz="8" w:space="0" w:color="000000"/>
              <w:left w:val="single" w:sz="8" w:space="0" w:color="000000"/>
              <w:bottom w:val="single" w:sz="8" w:space="0" w:color="000000"/>
              <w:right w:val="single" w:sz="8" w:space="0" w:color="000000"/>
            </w:tcBorders>
          </w:tcPr>
          <w:p w:rsidR="00EA6810" w:rsidRPr="00EA6810" w:rsidRDefault="00EA6810" w:rsidP="00EA6810">
            <w:pPr>
              <w:widowControl w:val="0"/>
              <w:kinsoku w:val="0"/>
              <w:overflowPunct w:val="0"/>
              <w:autoSpaceDE w:val="0"/>
              <w:autoSpaceDN w:val="0"/>
              <w:adjustRightInd w:val="0"/>
              <w:spacing w:line="276" w:lineRule="auto"/>
              <w:ind w:left="95" w:right="98"/>
              <w:jc w:val="both"/>
              <w:rPr>
                <w:rFonts w:ascii="Arial" w:hAnsi="Arial" w:cs="Arial"/>
                <w:lang w:val="en-ZA" w:eastAsia="en-ZA"/>
              </w:rPr>
            </w:pPr>
            <w:r w:rsidRPr="00EA6810">
              <w:rPr>
                <w:rFonts w:ascii="Arial" w:hAnsi="Arial" w:cs="Arial"/>
                <w:lang w:val="en-ZA" w:eastAsia="en-ZA"/>
              </w:rPr>
              <w:t>5%</w:t>
            </w:r>
          </w:p>
        </w:tc>
      </w:tr>
    </w:tbl>
    <w:p w:rsidR="00EA6810" w:rsidRPr="00EA6810" w:rsidRDefault="00EA6810" w:rsidP="00EA6810">
      <w:pPr>
        <w:widowControl w:val="0"/>
        <w:kinsoku w:val="0"/>
        <w:overflowPunct w:val="0"/>
        <w:autoSpaceDE w:val="0"/>
        <w:autoSpaceDN w:val="0"/>
        <w:adjustRightInd w:val="0"/>
        <w:spacing w:line="276" w:lineRule="auto"/>
        <w:jc w:val="both"/>
        <w:rPr>
          <w:rFonts w:ascii="Arial" w:hAnsi="Arial" w:cs="Arial"/>
          <w:lang w:val="en-ZA" w:eastAsia="en-ZA"/>
        </w:rPr>
      </w:pPr>
    </w:p>
    <w:p w:rsidR="00AC6F09" w:rsidRDefault="00AC6F09" w:rsidP="00FB0433">
      <w:pPr>
        <w:spacing w:line="276" w:lineRule="auto"/>
        <w:jc w:val="both"/>
        <w:outlineLvl w:val="0"/>
        <w:rPr>
          <w:rFonts w:ascii="Arial" w:eastAsia="Arial Unicode MS" w:hAnsi="Arial" w:cs="Arial"/>
          <w:b/>
          <w:color w:val="000000"/>
          <w:u w:color="000000"/>
        </w:rPr>
      </w:pPr>
    </w:p>
    <w:p w:rsidR="002B66E0" w:rsidRDefault="002B66E0" w:rsidP="002B66E0">
      <w:pPr>
        <w:spacing w:line="276" w:lineRule="auto"/>
        <w:jc w:val="center"/>
        <w:outlineLvl w:val="0"/>
        <w:rPr>
          <w:rFonts w:ascii="Arial" w:eastAsia="Arial Unicode MS" w:hAnsi="Arial" w:cs="Arial"/>
          <w:b/>
          <w:color w:val="000000"/>
          <w:u w:color="000000"/>
        </w:rPr>
      </w:pPr>
      <w:r>
        <w:rPr>
          <w:rFonts w:ascii="Arial" w:eastAsia="Arial Unicode MS" w:hAnsi="Arial" w:cs="Arial"/>
          <w:b/>
          <w:color w:val="000000"/>
          <w:u w:color="000000"/>
        </w:rPr>
        <w:t>-END-</w:t>
      </w:r>
    </w:p>
    <w:sectPr w:rsidR="002B66E0">
      <w:footerReference w:type="default" r:id="rId8"/>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44" w:rsidRDefault="00050544">
      <w:r>
        <w:separator/>
      </w:r>
    </w:p>
  </w:endnote>
  <w:endnote w:type="continuationSeparator" w:id="0">
    <w:p w:rsidR="00050544" w:rsidRDefault="00050544">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B210A0"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w:t>
    </w:r>
    <w:r w:rsidR="004027C2">
      <w:rPr>
        <w:rFonts w:ascii="Arial" w:hAnsi="Arial" w:cs="Arial"/>
        <w:sz w:val="16"/>
        <w:szCs w:val="16"/>
      </w:rPr>
      <w:t>stion No 367</w:t>
    </w:r>
    <w:r w:rsidR="00AC6F09">
      <w:rPr>
        <w:rFonts w:ascii="Arial" w:hAnsi="Arial" w:cs="Arial"/>
        <w:sz w:val="16"/>
        <w:szCs w:val="16"/>
      </w:rPr>
      <w:t>6</w:t>
    </w:r>
    <w:r w:rsidR="00040545">
      <w:rPr>
        <w:rFonts w:ascii="Arial" w:hAnsi="Arial" w:cs="Arial"/>
        <w:sz w:val="16"/>
        <w:szCs w:val="16"/>
      </w:rPr>
      <w:t xml:space="preserve"> </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44" w:rsidRDefault="00050544">
      <w:r>
        <w:separator/>
      </w:r>
    </w:p>
  </w:footnote>
  <w:footnote w:type="continuationSeparator" w:id="0">
    <w:p w:rsidR="00050544" w:rsidRDefault="00050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0000402"/>
    <w:multiLevelType w:val="multilevel"/>
    <w:tmpl w:val="00000885"/>
    <w:lvl w:ilvl="0">
      <w:numFmt w:val="bullet"/>
      <w:lvlText w:val="-"/>
      <w:lvlJc w:val="left"/>
      <w:pPr>
        <w:ind w:left="606" w:hanging="123"/>
      </w:pPr>
      <w:rPr>
        <w:rFonts w:ascii="Arial" w:hAnsi="Arial"/>
        <w:b w:val="0"/>
        <w:w w:val="99"/>
        <w:sz w:val="20"/>
      </w:rPr>
    </w:lvl>
    <w:lvl w:ilvl="1">
      <w:numFmt w:val="bullet"/>
      <w:lvlText w:val="•"/>
      <w:lvlJc w:val="left"/>
      <w:pPr>
        <w:ind w:left="1077" w:hanging="123"/>
      </w:pPr>
    </w:lvl>
    <w:lvl w:ilvl="2">
      <w:numFmt w:val="bullet"/>
      <w:lvlText w:val="•"/>
      <w:lvlJc w:val="left"/>
      <w:pPr>
        <w:ind w:left="1555" w:hanging="123"/>
      </w:pPr>
    </w:lvl>
    <w:lvl w:ilvl="3">
      <w:numFmt w:val="bullet"/>
      <w:lvlText w:val="•"/>
      <w:lvlJc w:val="left"/>
      <w:pPr>
        <w:ind w:left="2032" w:hanging="123"/>
      </w:pPr>
    </w:lvl>
    <w:lvl w:ilvl="4">
      <w:numFmt w:val="bullet"/>
      <w:lvlText w:val="•"/>
      <w:lvlJc w:val="left"/>
      <w:pPr>
        <w:ind w:left="2510" w:hanging="123"/>
      </w:pPr>
    </w:lvl>
    <w:lvl w:ilvl="5">
      <w:numFmt w:val="bullet"/>
      <w:lvlText w:val="•"/>
      <w:lvlJc w:val="left"/>
      <w:pPr>
        <w:ind w:left="2988" w:hanging="123"/>
      </w:pPr>
    </w:lvl>
    <w:lvl w:ilvl="6">
      <w:numFmt w:val="bullet"/>
      <w:lvlText w:val="•"/>
      <w:lvlJc w:val="left"/>
      <w:pPr>
        <w:ind w:left="3465" w:hanging="123"/>
      </w:pPr>
    </w:lvl>
    <w:lvl w:ilvl="7">
      <w:numFmt w:val="bullet"/>
      <w:lvlText w:val="•"/>
      <w:lvlJc w:val="left"/>
      <w:pPr>
        <w:ind w:left="3943" w:hanging="123"/>
      </w:pPr>
    </w:lvl>
    <w:lvl w:ilvl="8">
      <w:numFmt w:val="bullet"/>
      <w:lvlText w:val="•"/>
      <w:lvlJc w:val="left"/>
      <w:pPr>
        <w:ind w:left="4420" w:hanging="123"/>
      </w:pPr>
    </w:lvl>
  </w:abstractNum>
  <w:abstractNum w:abstractNumId="5">
    <w:nsid w:val="0AE40FA7"/>
    <w:multiLevelType w:val="hybridMultilevel"/>
    <w:tmpl w:val="513A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A3FE4"/>
    <w:multiLevelType w:val="hybridMultilevel"/>
    <w:tmpl w:val="A232EC1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797B313C"/>
    <w:multiLevelType w:val="hybridMultilevel"/>
    <w:tmpl w:val="17BE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6756F"/>
    <w:multiLevelType w:val="hybridMultilevel"/>
    <w:tmpl w:val="039E3B9E"/>
    <w:lvl w:ilvl="0" w:tplc="8520B6AE">
      <w:start w:val="1"/>
      <w:numFmt w:val="lowerLetter"/>
      <w:lvlText w:val="%1)"/>
      <w:lvlJc w:val="left"/>
      <w:pPr>
        <w:ind w:left="360" w:hanging="360"/>
      </w:pPr>
      <w:rPr>
        <w:rFonts w:ascii="Arial" w:eastAsia="Arial Unicode MS" w:hAnsi="Arial Unicode MS"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10"/>
  </w:num>
  <w:num w:numId="8">
    <w:abstractNumId w:val="6"/>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25853"/>
    <w:rsid w:val="00040545"/>
    <w:rsid w:val="00050544"/>
    <w:rsid w:val="00055C79"/>
    <w:rsid w:val="00061336"/>
    <w:rsid w:val="000625CB"/>
    <w:rsid w:val="00074562"/>
    <w:rsid w:val="000B1EA6"/>
    <w:rsid w:val="000B1F97"/>
    <w:rsid w:val="000B3E71"/>
    <w:rsid w:val="000D456D"/>
    <w:rsid w:val="000E0227"/>
    <w:rsid w:val="000E189A"/>
    <w:rsid w:val="000F1653"/>
    <w:rsid w:val="000F1F0E"/>
    <w:rsid w:val="00115EEF"/>
    <w:rsid w:val="001228B3"/>
    <w:rsid w:val="00145238"/>
    <w:rsid w:val="00150B15"/>
    <w:rsid w:val="0015574C"/>
    <w:rsid w:val="001C24CB"/>
    <w:rsid w:val="001C2AD4"/>
    <w:rsid w:val="002154A8"/>
    <w:rsid w:val="00220BBC"/>
    <w:rsid w:val="0025350D"/>
    <w:rsid w:val="00260440"/>
    <w:rsid w:val="002A35FD"/>
    <w:rsid w:val="002B66E0"/>
    <w:rsid w:val="002E39B6"/>
    <w:rsid w:val="00306351"/>
    <w:rsid w:val="0036028D"/>
    <w:rsid w:val="003736E1"/>
    <w:rsid w:val="003757C3"/>
    <w:rsid w:val="0038671A"/>
    <w:rsid w:val="00393640"/>
    <w:rsid w:val="003A0685"/>
    <w:rsid w:val="003D6441"/>
    <w:rsid w:val="003E1CA0"/>
    <w:rsid w:val="003E23BB"/>
    <w:rsid w:val="003F4631"/>
    <w:rsid w:val="004027C2"/>
    <w:rsid w:val="004245DE"/>
    <w:rsid w:val="00436A84"/>
    <w:rsid w:val="00470B0A"/>
    <w:rsid w:val="004A7374"/>
    <w:rsid w:val="004C4ECC"/>
    <w:rsid w:val="004D6C42"/>
    <w:rsid w:val="004E2D16"/>
    <w:rsid w:val="005063CE"/>
    <w:rsid w:val="00506BD9"/>
    <w:rsid w:val="00513580"/>
    <w:rsid w:val="00532D9A"/>
    <w:rsid w:val="00545EEB"/>
    <w:rsid w:val="00563E02"/>
    <w:rsid w:val="005F42D6"/>
    <w:rsid w:val="00631328"/>
    <w:rsid w:val="00633F6F"/>
    <w:rsid w:val="00663754"/>
    <w:rsid w:val="006B2FDD"/>
    <w:rsid w:val="006D6984"/>
    <w:rsid w:val="006D6BD6"/>
    <w:rsid w:val="006E52D8"/>
    <w:rsid w:val="006F5C76"/>
    <w:rsid w:val="00736BE5"/>
    <w:rsid w:val="00737200"/>
    <w:rsid w:val="00740569"/>
    <w:rsid w:val="007621F7"/>
    <w:rsid w:val="007824A8"/>
    <w:rsid w:val="007945B8"/>
    <w:rsid w:val="007E792E"/>
    <w:rsid w:val="008A5330"/>
    <w:rsid w:val="008A7344"/>
    <w:rsid w:val="008E34DC"/>
    <w:rsid w:val="008F61DB"/>
    <w:rsid w:val="009011E5"/>
    <w:rsid w:val="00904B31"/>
    <w:rsid w:val="00925499"/>
    <w:rsid w:val="00953644"/>
    <w:rsid w:val="00954876"/>
    <w:rsid w:val="009628CE"/>
    <w:rsid w:val="009E2258"/>
    <w:rsid w:val="00A07DC7"/>
    <w:rsid w:val="00A1255F"/>
    <w:rsid w:val="00A246B7"/>
    <w:rsid w:val="00A37442"/>
    <w:rsid w:val="00A52050"/>
    <w:rsid w:val="00A8565A"/>
    <w:rsid w:val="00A90129"/>
    <w:rsid w:val="00AC6F09"/>
    <w:rsid w:val="00AE376D"/>
    <w:rsid w:val="00AF75DF"/>
    <w:rsid w:val="00B134C6"/>
    <w:rsid w:val="00B20D99"/>
    <w:rsid w:val="00B210A0"/>
    <w:rsid w:val="00B237DD"/>
    <w:rsid w:val="00B608B6"/>
    <w:rsid w:val="00B61202"/>
    <w:rsid w:val="00BA6E6E"/>
    <w:rsid w:val="00BB0561"/>
    <w:rsid w:val="00BB6257"/>
    <w:rsid w:val="00C04F4C"/>
    <w:rsid w:val="00C51704"/>
    <w:rsid w:val="00C56405"/>
    <w:rsid w:val="00C918A7"/>
    <w:rsid w:val="00CA6BA5"/>
    <w:rsid w:val="00CA6F08"/>
    <w:rsid w:val="00CB384E"/>
    <w:rsid w:val="00CC7A15"/>
    <w:rsid w:val="00D012D5"/>
    <w:rsid w:val="00D07F2A"/>
    <w:rsid w:val="00D5239E"/>
    <w:rsid w:val="00D64012"/>
    <w:rsid w:val="00D757E4"/>
    <w:rsid w:val="00DB23C8"/>
    <w:rsid w:val="00DB5630"/>
    <w:rsid w:val="00DB617E"/>
    <w:rsid w:val="00DE1AF2"/>
    <w:rsid w:val="00DF15A1"/>
    <w:rsid w:val="00E12399"/>
    <w:rsid w:val="00E30E99"/>
    <w:rsid w:val="00E45D72"/>
    <w:rsid w:val="00E6001C"/>
    <w:rsid w:val="00E611FD"/>
    <w:rsid w:val="00EA6810"/>
    <w:rsid w:val="00EB2B97"/>
    <w:rsid w:val="00ED53EE"/>
    <w:rsid w:val="00EE3629"/>
    <w:rsid w:val="00EE47A4"/>
    <w:rsid w:val="00EF6032"/>
    <w:rsid w:val="00F42277"/>
    <w:rsid w:val="00F63F44"/>
    <w:rsid w:val="00F7168C"/>
    <w:rsid w:val="00F850D0"/>
    <w:rsid w:val="00FA188A"/>
    <w:rsid w:val="00FB0433"/>
    <w:rsid w:val="00FB3B65"/>
    <w:rsid w:val="00FB63F7"/>
    <w:rsid w:val="00FD70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cs="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link w:val="Body"/>
    <w:locked/>
    <w:rsid w:val="00A1255F"/>
    <w:rPr>
      <w:rFonts w:ascii="Arial" w:hAnsi="Arial" w:cs="Arial"/>
      <w:sz w:val="22"/>
      <w:szCs w:val="24"/>
      <w:lang w:val="en-GB" w:eastAsia="en-GB"/>
    </w:rPr>
  </w:style>
  <w:style w:type="paragraph" w:customStyle="1" w:styleId="Body">
    <w:name w:val="Body"/>
    <w:basedOn w:val="Normal"/>
    <w:link w:val="BodyChar"/>
    <w:rsid w:val="00A1255F"/>
    <w:pPr>
      <w:spacing w:line="360" w:lineRule="auto"/>
      <w:ind w:left="992"/>
    </w:pPr>
    <w:rPr>
      <w:rFonts w:ascii="Arial" w:hAnsi="Arial" w:cs="Arial"/>
      <w:sz w:val="22"/>
      <w:lang w:val="en-GB" w:eastAsia="en-GB"/>
    </w:rPr>
  </w:style>
  <w:style w:type="paragraph" w:styleId="NormalWeb">
    <w:name w:val="Normal (Web)"/>
    <w:basedOn w:val="Normal"/>
    <w:uiPriority w:val="99"/>
    <w:unhideWhenUsed/>
    <w:locked/>
    <w:rsid w:val="004027C2"/>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7852777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2017-12-04T10:30:00Z</cp:lastPrinted>
  <dcterms:created xsi:type="dcterms:W3CDTF">2017-12-12T11:27:00Z</dcterms:created>
  <dcterms:modified xsi:type="dcterms:W3CDTF">2017-12-12T11:27:00Z</dcterms:modified>
</cp:coreProperties>
</file>