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1D" w:rsidRPr="00686825" w:rsidRDefault="00A0131D" w:rsidP="00686825">
      <w:pPr>
        <w:tabs>
          <w:tab w:val="left" w:pos="432"/>
          <w:tab w:val="left" w:pos="864"/>
        </w:tabs>
        <w:spacing w:before="100" w:beforeAutospacing="1" w:line="276" w:lineRule="auto"/>
        <w:jc w:val="center"/>
        <w:rPr>
          <w:rFonts w:ascii="Arial" w:hAnsi="Arial" w:cs="Arial"/>
          <w:b/>
          <w:sz w:val="22"/>
          <w:szCs w:val="22"/>
        </w:rPr>
      </w:pPr>
      <w:r w:rsidRPr="00686825">
        <w:rPr>
          <w:rFonts w:ascii="Arial" w:hAnsi="Arial" w:cs="Arial"/>
          <w:b/>
          <w:sz w:val="22"/>
          <w:szCs w:val="22"/>
        </w:rPr>
        <w:t>NATIONAL ASSEMBLY</w:t>
      </w:r>
    </w:p>
    <w:p w:rsidR="00A0131D" w:rsidRPr="00686825" w:rsidRDefault="00A0131D" w:rsidP="00686825">
      <w:pPr>
        <w:tabs>
          <w:tab w:val="left" w:pos="432"/>
          <w:tab w:val="left" w:pos="864"/>
        </w:tabs>
        <w:spacing w:before="100" w:beforeAutospacing="1" w:line="276" w:lineRule="auto"/>
        <w:ind w:left="720" w:hanging="720"/>
        <w:jc w:val="center"/>
        <w:rPr>
          <w:rFonts w:ascii="Arial" w:hAnsi="Arial" w:cs="Arial"/>
          <w:b/>
          <w:sz w:val="22"/>
          <w:szCs w:val="22"/>
        </w:rPr>
      </w:pPr>
      <w:r w:rsidRPr="00686825">
        <w:rPr>
          <w:rFonts w:ascii="Arial" w:hAnsi="Arial" w:cs="Arial"/>
          <w:b/>
          <w:sz w:val="22"/>
          <w:szCs w:val="22"/>
        </w:rPr>
        <w:t>QUESTION FOR WRITTEN REPLY</w:t>
      </w:r>
    </w:p>
    <w:p w:rsidR="00A0131D" w:rsidRPr="00686825" w:rsidRDefault="00A0131D" w:rsidP="00686825">
      <w:pPr>
        <w:tabs>
          <w:tab w:val="left" w:pos="432"/>
          <w:tab w:val="left" w:pos="864"/>
        </w:tabs>
        <w:spacing w:before="100" w:beforeAutospacing="1" w:line="276" w:lineRule="auto"/>
        <w:ind w:left="720" w:hanging="720"/>
        <w:jc w:val="center"/>
        <w:rPr>
          <w:rFonts w:ascii="Arial" w:hAnsi="Arial" w:cs="Arial"/>
          <w:b/>
          <w:sz w:val="22"/>
          <w:szCs w:val="22"/>
        </w:rPr>
      </w:pPr>
      <w:r w:rsidRPr="00686825">
        <w:rPr>
          <w:rFonts w:ascii="Arial" w:hAnsi="Arial" w:cs="Arial"/>
          <w:b/>
          <w:sz w:val="22"/>
          <w:szCs w:val="22"/>
        </w:rPr>
        <w:t>QUESTION NUMBER: 367 [NW379E]</w:t>
      </w:r>
    </w:p>
    <w:p w:rsidR="00A0131D" w:rsidRPr="00686825" w:rsidRDefault="00A0131D" w:rsidP="00686825">
      <w:pPr>
        <w:pStyle w:val="Heading1"/>
        <w:spacing w:line="276" w:lineRule="auto"/>
        <w:ind w:hanging="720"/>
        <w:rPr>
          <w:rFonts w:ascii="Arial" w:hAnsi="Arial" w:cs="Arial"/>
          <w:sz w:val="22"/>
          <w:szCs w:val="22"/>
        </w:rPr>
      </w:pPr>
      <w:r w:rsidRPr="00686825">
        <w:rPr>
          <w:rFonts w:ascii="Arial" w:hAnsi="Arial" w:cs="Arial"/>
          <w:sz w:val="22"/>
          <w:szCs w:val="22"/>
        </w:rPr>
        <w:t>DATE OF PUBLICATION: 19 FEBRUARY 2016</w:t>
      </w:r>
    </w:p>
    <w:p w:rsidR="00A0131D" w:rsidRPr="00686825" w:rsidRDefault="00A0131D" w:rsidP="00686825">
      <w:pPr>
        <w:tabs>
          <w:tab w:val="left" w:pos="432"/>
          <w:tab w:val="left" w:pos="864"/>
        </w:tabs>
        <w:spacing w:line="276" w:lineRule="auto"/>
        <w:ind w:left="720"/>
        <w:rPr>
          <w:rFonts w:ascii="Arial" w:hAnsi="Arial" w:cs="Arial"/>
          <w:b/>
          <w:sz w:val="22"/>
          <w:szCs w:val="22"/>
        </w:rPr>
      </w:pPr>
    </w:p>
    <w:p w:rsidR="00A0131D" w:rsidRPr="00686825" w:rsidRDefault="00A0131D" w:rsidP="00686825">
      <w:pPr>
        <w:spacing w:before="100" w:beforeAutospacing="1" w:after="100" w:afterAutospacing="1" w:line="276" w:lineRule="auto"/>
        <w:ind w:left="709" w:hanging="720"/>
        <w:jc w:val="both"/>
        <w:outlineLvl w:val="0"/>
        <w:rPr>
          <w:rFonts w:ascii="Arial" w:hAnsi="Arial" w:cs="Arial"/>
          <w:b/>
          <w:sz w:val="22"/>
          <w:szCs w:val="22"/>
          <w:lang w:val="en-ZA"/>
        </w:rPr>
      </w:pPr>
      <w:r w:rsidRPr="00686825">
        <w:rPr>
          <w:rFonts w:ascii="Arial" w:hAnsi="Arial" w:cs="Arial"/>
          <w:b/>
          <w:sz w:val="22"/>
          <w:szCs w:val="22"/>
          <w:lang w:val="en-ZA"/>
        </w:rPr>
        <w:t>367.</w:t>
      </w:r>
      <w:r w:rsidRPr="00686825">
        <w:rPr>
          <w:rFonts w:ascii="Arial" w:hAnsi="Arial" w:cs="Arial"/>
          <w:b/>
          <w:sz w:val="22"/>
          <w:szCs w:val="22"/>
          <w:lang w:val="en-ZA"/>
        </w:rPr>
        <w:tab/>
        <w:t>Mr R W T Chance (DA) to ask the Minister of Finance:</w:t>
      </w:r>
    </w:p>
    <w:p w:rsidR="00A0131D" w:rsidRPr="00686825" w:rsidRDefault="00A0131D" w:rsidP="00686825">
      <w:pPr>
        <w:tabs>
          <w:tab w:val="left" w:pos="432"/>
          <w:tab w:val="left" w:pos="720"/>
        </w:tabs>
        <w:spacing w:before="100" w:beforeAutospacing="1" w:after="100" w:afterAutospacing="1" w:line="276" w:lineRule="auto"/>
        <w:ind w:left="720"/>
        <w:jc w:val="both"/>
        <w:rPr>
          <w:rFonts w:ascii="Arial" w:hAnsi="Arial" w:cs="Arial"/>
          <w:sz w:val="22"/>
          <w:szCs w:val="22"/>
        </w:rPr>
      </w:pPr>
      <w:r w:rsidRPr="00686825">
        <w:rPr>
          <w:rFonts w:ascii="Arial" w:hAnsi="Arial" w:cs="Arial"/>
          <w:sz w:val="22"/>
          <w:szCs w:val="22"/>
        </w:rPr>
        <w:t xml:space="preserve">With reference to President Jacob G Zuma’s undertaking in his State of the Nation Address delivered on 12 February 2015, that the </w:t>
      </w:r>
      <w:r w:rsidRPr="00686825">
        <w:rPr>
          <w:rFonts w:ascii="Arial" w:hAnsi="Arial" w:cs="Arial"/>
          <w:color w:val="252525"/>
          <w:sz w:val="22"/>
          <w:szCs w:val="22"/>
          <w:lang w:eastAsia="en-ZA"/>
        </w:rPr>
        <w:t xml:space="preserve">Government will set </w:t>
      </w:r>
      <w:r w:rsidRPr="00686825">
        <w:rPr>
          <w:rFonts w:ascii="Arial" w:hAnsi="Arial" w:cs="Arial"/>
          <w:sz w:val="22"/>
          <w:szCs w:val="22"/>
        </w:rPr>
        <w:t>aside</w:t>
      </w:r>
      <w:r w:rsidRPr="00686825">
        <w:rPr>
          <w:rFonts w:ascii="Arial" w:hAnsi="Arial" w:cs="Arial"/>
          <w:color w:val="252525"/>
          <w:sz w:val="22"/>
          <w:szCs w:val="22"/>
          <w:lang w:eastAsia="en-ZA"/>
        </w:rPr>
        <w:t xml:space="preserve"> 30% of appropriate categories of state procurement for purchasing from Small, Medium and Micro-sized Enterprises (SMMEs), co-operatives, as </w:t>
      </w:r>
      <w:r w:rsidRPr="00686825">
        <w:rPr>
          <w:rFonts w:ascii="Arial" w:hAnsi="Arial" w:cs="Arial"/>
          <w:sz w:val="22"/>
          <w:szCs w:val="22"/>
        </w:rPr>
        <w:t>well</w:t>
      </w:r>
      <w:r w:rsidRPr="00686825">
        <w:rPr>
          <w:rFonts w:ascii="Arial" w:hAnsi="Arial" w:cs="Arial"/>
          <w:color w:val="252525"/>
          <w:sz w:val="22"/>
          <w:szCs w:val="22"/>
          <w:lang w:eastAsia="en-ZA"/>
        </w:rPr>
        <w:t xml:space="preserve"> as township and rural enterprises, </w:t>
      </w:r>
      <w:r w:rsidRPr="00686825">
        <w:rPr>
          <w:rFonts w:ascii="Arial" w:hAnsi="Arial" w:cs="Arial"/>
          <w:sz w:val="22"/>
          <w:szCs w:val="22"/>
        </w:rPr>
        <w:t>what percentage of the total procurement of (a) the National Treasury and (b) every entity reporting to him went to (i) SMMEs and (ii) co-operatives from 1 April 2015 up to the latest specified date for which information is available?</w:t>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r>
      <w:r w:rsidRPr="00686825">
        <w:rPr>
          <w:rFonts w:ascii="Arial" w:hAnsi="Arial" w:cs="Arial"/>
          <w:sz w:val="22"/>
          <w:szCs w:val="22"/>
        </w:rPr>
        <w:tab/>
        <w:t>NW379E</w:t>
      </w:r>
    </w:p>
    <w:p w:rsidR="00A0131D" w:rsidRPr="00686825" w:rsidRDefault="00A0131D" w:rsidP="00686825">
      <w:pPr>
        <w:spacing w:line="276" w:lineRule="auto"/>
        <w:rPr>
          <w:rFonts w:ascii="Arial" w:hAnsi="Arial" w:cs="Arial"/>
          <w:b/>
          <w:sz w:val="22"/>
          <w:szCs w:val="22"/>
        </w:rPr>
      </w:pPr>
      <w:r w:rsidRPr="00686825">
        <w:rPr>
          <w:rFonts w:ascii="Arial" w:hAnsi="Arial" w:cs="Arial"/>
          <w:b/>
          <w:sz w:val="22"/>
          <w:szCs w:val="22"/>
        </w:rPr>
        <w:t>REPLY:</w:t>
      </w:r>
    </w:p>
    <w:p w:rsidR="00A0131D" w:rsidRPr="00686825" w:rsidRDefault="00A0131D" w:rsidP="00686825">
      <w:pPr>
        <w:spacing w:line="276" w:lineRule="auto"/>
        <w:rPr>
          <w:rFonts w:ascii="Arial" w:hAnsi="Arial" w:cs="Arial"/>
          <w:b/>
          <w:sz w:val="22"/>
          <w:szCs w:val="22"/>
        </w:rPr>
      </w:pPr>
    </w:p>
    <w:p w:rsidR="00A0131D" w:rsidRPr="00686825" w:rsidRDefault="00A0131D" w:rsidP="00686825">
      <w:pPr>
        <w:spacing w:line="276" w:lineRule="auto"/>
        <w:rPr>
          <w:rFonts w:ascii="Arial" w:hAnsi="Arial" w:cs="Arial"/>
          <w:b/>
          <w:sz w:val="22"/>
          <w:szCs w:val="22"/>
        </w:rPr>
      </w:pPr>
      <w:r w:rsidRPr="00686825">
        <w:rPr>
          <w:rFonts w:ascii="Arial" w:hAnsi="Arial" w:cs="Arial"/>
          <w:b/>
          <w:sz w:val="22"/>
          <w:szCs w:val="22"/>
        </w:rPr>
        <w:t>NATIONAL TREASURY</w:t>
      </w:r>
    </w:p>
    <w:p w:rsidR="00A0131D" w:rsidRPr="00686825" w:rsidRDefault="00A0131D" w:rsidP="00686825">
      <w:pPr>
        <w:spacing w:line="276" w:lineRule="auto"/>
        <w:ind w:left="720"/>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 xml:space="preserve">(a) (i) 17% </w:t>
      </w:r>
    </w:p>
    <w:p w:rsidR="00A0131D" w:rsidRPr="00686825" w:rsidRDefault="00A0131D" w:rsidP="00686825">
      <w:pPr>
        <w:spacing w:line="276" w:lineRule="auto"/>
        <w:jc w:val="both"/>
        <w:rPr>
          <w:rFonts w:ascii="Arial" w:hAnsi="Arial" w:cs="Arial"/>
          <w:color w:val="00B0F0"/>
          <w:sz w:val="22"/>
          <w:szCs w:val="22"/>
        </w:rPr>
      </w:pPr>
      <w:r w:rsidRPr="00686825">
        <w:rPr>
          <w:rFonts w:ascii="Arial" w:hAnsi="Arial" w:cs="Arial"/>
          <w:sz w:val="22"/>
          <w:szCs w:val="22"/>
        </w:rPr>
        <w:t>(a) (ii) N/A.</w:t>
      </w:r>
    </w:p>
    <w:p w:rsidR="00A0131D" w:rsidRPr="00686825" w:rsidRDefault="00A0131D" w:rsidP="00686825">
      <w:pPr>
        <w:pBdr>
          <w:bottom w:val="single" w:sz="6" w:space="1" w:color="auto"/>
        </w:pBdr>
        <w:spacing w:line="276" w:lineRule="auto"/>
        <w:rPr>
          <w:rFonts w:ascii="Arial" w:hAnsi="Arial" w:cs="Arial"/>
          <w:b/>
          <w:sz w:val="22"/>
          <w:szCs w:val="22"/>
        </w:rPr>
      </w:pPr>
    </w:p>
    <w:p w:rsidR="00A0131D" w:rsidRPr="00686825" w:rsidRDefault="00A0131D" w:rsidP="00686825">
      <w:pPr>
        <w:spacing w:line="276" w:lineRule="auto"/>
        <w:rPr>
          <w:rFonts w:ascii="Arial" w:hAnsi="Arial" w:cs="Arial"/>
          <w:b/>
          <w:sz w:val="22"/>
          <w:szCs w:val="22"/>
        </w:rPr>
      </w:pPr>
    </w:p>
    <w:p w:rsidR="00A0131D" w:rsidRPr="00686825" w:rsidRDefault="00A0131D" w:rsidP="00686825">
      <w:pPr>
        <w:spacing w:line="276" w:lineRule="auto"/>
        <w:rPr>
          <w:rFonts w:ascii="Arial" w:hAnsi="Arial" w:cs="Arial"/>
          <w:b/>
          <w:sz w:val="22"/>
          <w:szCs w:val="22"/>
        </w:rPr>
      </w:pPr>
    </w:p>
    <w:p w:rsidR="00A0131D" w:rsidRPr="00686825" w:rsidRDefault="00A0131D" w:rsidP="00686825">
      <w:pPr>
        <w:spacing w:line="276" w:lineRule="auto"/>
        <w:rPr>
          <w:rFonts w:ascii="Arial" w:hAnsi="Arial" w:cs="Arial"/>
          <w:b/>
          <w:sz w:val="22"/>
          <w:szCs w:val="22"/>
        </w:rPr>
      </w:pPr>
      <w:r w:rsidRPr="00686825">
        <w:rPr>
          <w:rFonts w:ascii="Arial" w:hAnsi="Arial" w:cs="Arial"/>
          <w:b/>
          <w:sz w:val="22"/>
          <w:szCs w:val="22"/>
        </w:rPr>
        <w:t>ACCOUNTING STANDARDS BOARD</w:t>
      </w:r>
    </w:p>
    <w:p w:rsidR="00A0131D" w:rsidRPr="00686825" w:rsidRDefault="00A0131D" w:rsidP="00686825">
      <w:pPr>
        <w:spacing w:line="276" w:lineRule="auto"/>
        <w:ind w:left="567" w:hanging="567"/>
        <w:jc w:val="both"/>
        <w:rPr>
          <w:rFonts w:ascii="Arial" w:hAnsi="Arial" w:cs="Arial"/>
          <w:sz w:val="22"/>
          <w:szCs w:val="22"/>
        </w:rPr>
      </w:pPr>
      <w:r w:rsidRPr="00686825">
        <w:rPr>
          <w:rFonts w:ascii="Arial" w:hAnsi="Arial" w:cs="Arial"/>
          <w:sz w:val="22"/>
          <w:szCs w:val="22"/>
        </w:rPr>
        <w:t>(b) (i) 85%</w:t>
      </w:r>
    </w:p>
    <w:p w:rsidR="00A0131D" w:rsidRPr="00686825" w:rsidRDefault="00A0131D" w:rsidP="00686825">
      <w:pPr>
        <w:spacing w:line="276" w:lineRule="auto"/>
        <w:ind w:left="567" w:hanging="567"/>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b/>
          <w:sz w:val="22"/>
          <w:szCs w:val="22"/>
        </w:rPr>
      </w:pPr>
      <w:r w:rsidRPr="00686825">
        <w:rPr>
          <w:rFonts w:ascii="Arial" w:hAnsi="Arial" w:cs="Arial"/>
          <w:b/>
          <w:sz w:val="22"/>
          <w:szCs w:val="22"/>
        </w:rPr>
        <w:t>CO-OPERATIVE BANKS DEVELOPMENT AGENCY</w:t>
      </w: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pBdr>
          <w:bottom w:val="single" w:sz="6" w:space="1" w:color="auto"/>
        </w:pBdr>
        <w:spacing w:line="276" w:lineRule="auto"/>
        <w:rPr>
          <w:rFonts w:ascii="Arial" w:hAnsi="Arial" w:cs="Arial"/>
          <w:sz w:val="22"/>
          <w:szCs w:val="22"/>
        </w:rPr>
      </w:pPr>
      <w:r w:rsidRPr="00686825">
        <w:rPr>
          <w:rFonts w:ascii="Arial" w:hAnsi="Arial" w:cs="Arial"/>
          <w:sz w:val="22"/>
          <w:szCs w:val="22"/>
        </w:rPr>
        <w:t xml:space="preserve">The Co-operative Banks Development Agency has utilised the National Treasury (NT) supply chain management unit (SCM) in relation to all its procurement matters due to not having sufficient resources to carry out this function independently. </w:t>
      </w:r>
    </w:p>
    <w:p w:rsidR="00A0131D" w:rsidRPr="00686825" w:rsidRDefault="00A0131D" w:rsidP="00686825">
      <w:pPr>
        <w:pBdr>
          <w:bottom w:val="single" w:sz="6" w:space="1" w:color="auto"/>
        </w:pBdr>
        <w:spacing w:line="276" w:lineRule="auto"/>
        <w:rPr>
          <w:rFonts w:ascii="Arial" w:hAnsi="Arial" w:cs="Arial"/>
          <w:sz w:val="22"/>
          <w:szCs w:val="22"/>
        </w:rPr>
      </w:pPr>
    </w:p>
    <w:p w:rsidR="00A0131D" w:rsidRPr="00686825" w:rsidRDefault="00A0131D" w:rsidP="00686825">
      <w:pPr>
        <w:spacing w:line="276" w:lineRule="auto"/>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DEVELOPMENT BANK OF SOUTHERN AFRICA</w:t>
      </w:r>
    </w:p>
    <w:p w:rsidR="00A0131D" w:rsidRPr="00686825" w:rsidRDefault="00A0131D" w:rsidP="00686825">
      <w:pPr>
        <w:spacing w:line="276" w:lineRule="auto"/>
        <w:jc w:val="both"/>
        <w:rPr>
          <w:rFonts w:ascii="Arial" w:hAnsi="Arial" w:cs="Arial"/>
          <w:b/>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(i)</w:t>
      </w:r>
      <w:r w:rsidRPr="00686825">
        <w:rPr>
          <w:rFonts w:ascii="Arial" w:hAnsi="Arial" w:cs="Arial"/>
          <w:sz w:val="22"/>
          <w:szCs w:val="22"/>
        </w:rPr>
        <w:tab/>
        <w:t>The Development Bank of South Africa tracks data in line with the BEE scorecard and certificates. Hence, data is available pertaining to Black Owned, Black Women Owned; EME and QSE.</w:t>
      </w: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sz w:val="22"/>
          <w:szCs w:val="22"/>
        </w:rPr>
      </w:pPr>
      <w:r w:rsidRPr="00686825">
        <w:rPr>
          <w:rFonts w:ascii="Arial" w:hAnsi="Arial" w:cs="Arial"/>
          <w:sz w:val="22"/>
          <w:szCs w:val="22"/>
        </w:rPr>
        <w:t xml:space="preserve">This analysis is based on spend data from 1 April 2015 to 24 February 2016. </w:t>
      </w:r>
    </w:p>
    <w:tbl>
      <w:tblPr>
        <w:tblW w:w="8376" w:type="dxa"/>
        <w:tblLook w:val="00A0"/>
      </w:tblPr>
      <w:tblGrid>
        <w:gridCol w:w="4928"/>
        <w:gridCol w:w="1701"/>
        <w:gridCol w:w="1747"/>
      </w:tblGrid>
      <w:tr w:rsidR="00A0131D" w:rsidRPr="00686825" w:rsidTr="009F06DE">
        <w:trPr>
          <w:trHeight w:val="300"/>
        </w:trPr>
        <w:tc>
          <w:tcPr>
            <w:tcW w:w="4928" w:type="dxa"/>
            <w:tcBorders>
              <w:top w:val="single" w:sz="4" w:space="0" w:color="auto"/>
              <w:left w:val="single" w:sz="4" w:space="0" w:color="auto"/>
              <w:bottom w:val="single" w:sz="4" w:space="0" w:color="auto"/>
              <w:right w:val="single" w:sz="4" w:space="0" w:color="auto"/>
            </w:tcBorders>
            <w:noWrap/>
            <w:vAlign w:val="bottom"/>
          </w:tcPr>
          <w:p w:rsidR="00A0131D" w:rsidRPr="00686825" w:rsidRDefault="00A0131D" w:rsidP="00686825">
            <w:pPr>
              <w:spacing w:line="276" w:lineRule="auto"/>
              <w:jc w:val="both"/>
              <w:rPr>
                <w:rFonts w:ascii="Arial" w:hAnsi="Arial" w:cs="Arial"/>
                <w:b/>
                <w:bCs/>
                <w:sz w:val="22"/>
                <w:szCs w:val="22"/>
                <w:lang w:val="en-US"/>
              </w:rPr>
            </w:pPr>
            <w:r w:rsidRPr="00686825">
              <w:rPr>
                <w:rFonts w:ascii="Arial" w:hAnsi="Arial" w:cs="Arial"/>
                <w:sz w:val="22"/>
                <w:szCs w:val="22"/>
              </w:rPr>
              <w:t xml:space="preserve"> </w:t>
            </w:r>
            <w:r w:rsidRPr="00686825">
              <w:rPr>
                <w:rFonts w:ascii="Arial" w:hAnsi="Arial" w:cs="Arial"/>
                <w:b/>
                <w:bCs/>
                <w:sz w:val="22"/>
                <w:szCs w:val="22"/>
                <w:lang w:val="en-US"/>
              </w:rPr>
              <w:t>Classification</w:t>
            </w:r>
          </w:p>
        </w:tc>
        <w:tc>
          <w:tcPr>
            <w:tcW w:w="1701" w:type="dxa"/>
            <w:tcBorders>
              <w:top w:val="single" w:sz="4" w:space="0" w:color="auto"/>
              <w:left w:val="nil"/>
              <w:bottom w:val="single" w:sz="4" w:space="0" w:color="auto"/>
              <w:right w:val="single" w:sz="4" w:space="0" w:color="auto"/>
            </w:tcBorders>
            <w:noWrap/>
            <w:vAlign w:val="bottom"/>
          </w:tcPr>
          <w:p w:rsidR="00A0131D" w:rsidRPr="00686825" w:rsidRDefault="00A0131D" w:rsidP="00686825">
            <w:pPr>
              <w:spacing w:line="276" w:lineRule="auto"/>
              <w:jc w:val="both"/>
              <w:rPr>
                <w:rFonts w:ascii="Arial" w:hAnsi="Arial" w:cs="Arial"/>
                <w:b/>
                <w:bCs/>
                <w:sz w:val="22"/>
                <w:szCs w:val="22"/>
                <w:lang w:val="en-US"/>
              </w:rPr>
            </w:pPr>
            <w:r w:rsidRPr="00686825">
              <w:rPr>
                <w:rFonts w:ascii="Arial" w:hAnsi="Arial" w:cs="Arial"/>
                <w:b/>
                <w:bCs/>
                <w:sz w:val="22"/>
                <w:szCs w:val="22"/>
                <w:lang w:val="en-US"/>
              </w:rPr>
              <w:t>Value</w:t>
            </w:r>
          </w:p>
        </w:tc>
        <w:tc>
          <w:tcPr>
            <w:tcW w:w="1747" w:type="dxa"/>
            <w:tcBorders>
              <w:top w:val="single" w:sz="4" w:space="0" w:color="auto"/>
              <w:left w:val="nil"/>
              <w:bottom w:val="single" w:sz="4" w:space="0" w:color="auto"/>
              <w:right w:val="single" w:sz="4" w:space="0" w:color="auto"/>
            </w:tcBorders>
            <w:noWrap/>
            <w:vAlign w:val="bottom"/>
          </w:tcPr>
          <w:p w:rsidR="00A0131D" w:rsidRPr="00686825" w:rsidRDefault="00A0131D" w:rsidP="00686825">
            <w:pPr>
              <w:spacing w:line="276" w:lineRule="auto"/>
              <w:jc w:val="both"/>
              <w:rPr>
                <w:rFonts w:ascii="Arial" w:hAnsi="Arial" w:cs="Arial"/>
                <w:b/>
                <w:bCs/>
                <w:sz w:val="22"/>
                <w:szCs w:val="22"/>
                <w:lang w:val="en-US"/>
              </w:rPr>
            </w:pPr>
            <w:r w:rsidRPr="00686825">
              <w:rPr>
                <w:rFonts w:ascii="Arial" w:hAnsi="Arial" w:cs="Arial"/>
                <w:b/>
                <w:bCs/>
                <w:sz w:val="22"/>
                <w:szCs w:val="22"/>
                <w:lang w:val="en-US"/>
              </w:rPr>
              <w:t>%</w:t>
            </w:r>
          </w:p>
        </w:tc>
      </w:tr>
      <w:tr w:rsidR="00A0131D" w:rsidRPr="00686825" w:rsidTr="009F06DE">
        <w:trPr>
          <w:trHeight w:val="300"/>
        </w:trPr>
        <w:tc>
          <w:tcPr>
            <w:tcW w:w="4928" w:type="dxa"/>
            <w:tcBorders>
              <w:top w:val="nil"/>
              <w:left w:val="single" w:sz="4" w:space="0" w:color="auto"/>
              <w:bottom w:val="single" w:sz="4" w:space="0" w:color="auto"/>
              <w:right w:val="single" w:sz="4" w:space="0" w:color="auto"/>
            </w:tcBorders>
            <w:noWrap/>
            <w:vAlign w:val="bottom"/>
          </w:tcPr>
          <w:p w:rsidR="00A0131D" w:rsidRPr="00686825" w:rsidRDefault="00A0131D" w:rsidP="00686825">
            <w:pPr>
              <w:spacing w:line="276" w:lineRule="auto"/>
              <w:jc w:val="both"/>
              <w:rPr>
                <w:rFonts w:ascii="Arial" w:hAnsi="Arial" w:cs="Arial"/>
                <w:sz w:val="22"/>
                <w:szCs w:val="22"/>
                <w:lang w:val="en-US"/>
              </w:rPr>
            </w:pPr>
            <w:r w:rsidRPr="00686825">
              <w:rPr>
                <w:rFonts w:ascii="Arial" w:hAnsi="Arial" w:cs="Arial"/>
                <w:sz w:val="22"/>
                <w:szCs w:val="22"/>
                <w:lang w:val="en-US"/>
              </w:rPr>
              <w:t xml:space="preserve">Total Spend </w:t>
            </w:r>
          </w:p>
        </w:tc>
        <w:tc>
          <w:tcPr>
            <w:tcW w:w="1701" w:type="dxa"/>
            <w:tcBorders>
              <w:top w:val="nil"/>
              <w:left w:val="nil"/>
              <w:bottom w:val="single" w:sz="4" w:space="0" w:color="auto"/>
              <w:right w:val="single" w:sz="4" w:space="0" w:color="auto"/>
            </w:tcBorders>
            <w:noWrap/>
            <w:vAlign w:val="bottom"/>
          </w:tcPr>
          <w:p w:rsidR="00A0131D" w:rsidRPr="00686825" w:rsidRDefault="00A0131D" w:rsidP="00686825">
            <w:pPr>
              <w:spacing w:line="276" w:lineRule="auto"/>
              <w:jc w:val="right"/>
              <w:rPr>
                <w:rFonts w:ascii="Arial" w:hAnsi="Arial" w:cs="Arial"/>
                <w:sz w:val="22"/>
                <w:szCs w:val="22"/>
                <w:lang w:val="en-US"/>
              </w:rPr>
            </w:pPr>
            <w:r w:rsidRPr="00686825">
              <w:rPr>
                <w:rFonts w:ascii="Arial" w:hAnsi="Arial" w:cs="Arial"/>
                <w:sz w:val="22"/>
                <w:szCs w:val="22"/>
                <w:lang w:val="en-US"/>
              </w:rPr>
              <w:t xml:space="preserve">R 169,962,314 </w:t>
            </w:r>
          </w:p>
        </w:tc>
        <w:tc>
          <w:tcPr>
            <w:tcW w:w="1747" w:type="dxa"/>
            <w:tcBorders>
              <w:top w:val="nil"/>
              <w:left w:val="nil"/>
              <w:bottom w:val="single" w:sz="4" w:space="0" w:color="auto"/>
              <w:right w:val="single" w:sz="4" w:space="0" w:color="auto"/>
            </w:tcBorders>
            <w:noWrap/>
            <w:vAlign w:val="bottom"/>
          </w:tcPr>
          <w:p w:rsidR="00A0131D" w:rsidRPr="00686825" w:rsidRDefault="00A0131D" w:rsidP="00686825">
            <w:pPr>
              <w:spacing w:line="276" w:lineRule="auto"/>
              <w:jc w:val="both"/>
              <w:rPr>
                <w:rFonts w:ascii="Arial" w:hAnsi="Arial" w:cs="Arial"/>
                <w:sz w:val="22"/>
                <w:szCs w:val="22"/>
                <w:lang w:val="en-US"/>
              </w:rPr>
            </w:pPr>
            <w:r w:rsidRPr="00686825">
              <w:rPr>
                <w:rFonts w:ascii="Arial" w:hAnsi="Arial" w:cs="Arial"/>
                <w:sz w:val="22"/>
                <w:szCs w:val="22"/>
                <w:lang w:val="en-US"/>
              </w:rPr>
              <w:t>100%</w:t>
            </w:r>
          </w:p>
        </w:tc>
      </w:tr>
      <w:tr w:rsidR="00A0131D" w:rsidRPr="00686825" w:rsidTr="009F06DE">
        <w:trPr>
          <w:trHeight w:val="300"/>
        </w:trPr>
        <w:tc>
          <w:tcPr>
            <w:tcW w:w="8376" w:type="dxa"/>
            <w:gridSpan w:val="3"/>
            <w:tcBorders>
              <w:top w:val="single" w:sz="4" w:space="0" w:color="auto"/>
              <w:left w:val="single" w:sz="4" w:space="0" w:color="auto"/>
              <w:bottom w:val="single" w:sz="4" w:space="0" w:color="auto"/>
              <w:right w:val="single" w:sz="4" w:space="0" w:color="000000"/>
            </w:tcBorders>
            <w:noWrap/>
            <w:vAlign w:val="bottom"/>
          </w:tcPr>
          <w:p w:rsidR="00A0131D" w:rsidRPr="00686825" w:rsidRDefault="00A0131D" w:rsidP="00686825">
            <w:pPr>
              <w:spacing w:line="276" w:lineRule="auto"/>
              <w:jc w:val="both"/>
              <w:rPr>
                <w:rFonts w:ascii="Arial" w:hAnsi="Arial" w:cs="Arial"/>
                <w:sz w:val="22"/>
                <w:szCs w:val="22"/>
                <w:lang w:val="en-US"/>
              </w:rPr>
            </w:pPr>
            <w:r w:rsidRPr="00686825">
              <w:rPr>
                <w:rFonts w:ascii="Arial" w:hAnsi="Arial" w:cs="Arial"/>
                <w:sz w:val="22"/>
                <w:szCs w:val="22"/>
                <w:lang w:val="en-US"/>
              </w:rPr>
              <w:t> </w:t>
            </w:r>
          </w:p>
        </w:tc>
      </w:tr>
      <w:tr w:rsidR="00A0131D" w:rsidRPr="00686825" w:rsidTr="009F06DE">
        <w:trPr>
          <w:trHeight w:val="300"/>
        </w:trPr>
        <w:tc>
          <w:tcPr>
            <w:tcW w:w="4928" w:type="dxa"/>
            <w:tcBorders>
              <w:top w:val="nil"/>
              <w:left w:val="single" w:sz="4" w:space="0" w:color="auto"/>
              <w:bottom w:val="single" w:sz="4" w:space="0" w:color="auto"/>
              <w:right w:val="single" w:sz="4" w:space="0" w:color="auto"/>
            </w:tcBorders>
            <w:noWrap/>
            <w:vAlign w:val="bottom"/>
          </w:tcPr>
          <w:p w:rsidR="00A0131D" w:rsidRPr="00686825" w:rsidRDefault="00A0131D" w:rsidP="00686825">
            <w:pPr>
              <w:spacing w:line="276" w:lineRule="auto"/>
              <w:jc w:val="both"/>
              <w:rPr>
                <w:rFonts w:ascii="Arial" w:hAnsi="Arial" w:cs="Arial"/>
                <w:sz w:val="22"/>
                <w:szCs w:val="22"/>
                <w:lang w:val="en-US"/>
              </w:rPr>
            </w:pPr>
            <w:r w:rsidRPr="00686825">
              <w:rPr>
                <w:rFonts w:ascii="Arial" w:hAnsi="Arial" w:cs="Arial"/>
                <w:sz w:val="22"/>
                <w:szCs w:val="22"/>
                <w:lang w:val="en-US"/>
              </w:rPr>
              <w:t>EME Spend</w:t>
            </w:r>
          </w:p>
        </w:tc>
        <w:tc>
          <w:tcPr>
            <w:tcW w:w="1701" w:type="dxa"/>
            <w:tcBorders>
              <w:top w:val="nil"/>
              <w:left w:val="nil"/>
              <w:bottom w:val="single" w:sz="4" w:space="0" w:color="auto"/>
              <w:right w:val="single" w:sz="4" w:space="0" w:color="auto"/>
            </w:tcBorders>
            <w:noWrap/>
            <w:vAlign w:val="bottom"/>
          </w:tcPr>
          <w:p w:rsidR="00A0131D" w:rsidRPr="00686825" w:rsidRDefault="00A0131D" w:rsidP="00686825">
            <w:pPr>
              <w:spacing w:line="276" w:lineRule="auto"/>
              <w:jc w:val="right"/>
              <w:rPr>
                <w:rFonts w:ascii="Arial" w:hAnsi="Arial" w:cs="Arial"/>
                <w:sz w:val="22"/>
                <w:szCs w:val="22"/>
                <w:lang w:val="en-US"/>
              </w:rPr>
            </w:pPr>
            <w:r w:rsidRPr="00686825">
              <w:rPr>
                <w:rFonts w:ascii="Arial" w:hAnsi="Arial" w:cs="Arial"/>
                <w:sz w:val="22"/>
                <w:szCs w:val="22"/>
                <w:lang w:val="en-US"/>
              </w:rPr>
              <w:t xml:space="preserve">  R 16,828,529 </w:t>
            </w:r>
          </w:p>
        </w:tc>
        <w:tc>
          <w:tcPr>
            <w:tcW w:w="1747" w:type="dxa"/>
            <w:tcBorders>
              <w:top w:val="nil"/>
              <w:left w:val="nil"/>
              <w:bottom w:val="single" w:sz="4" w:space="0" w:color="auto"/>
              <w:right w:val="single" w:sz="4" w:space="0" w:color="auto"/>
            </w:tcBorders>
            <w:noWrap/>
            <w:vAlign w:val="bottom"/>
          </w:tcPr>
          <w:p w:rsidR="00A0131D" w:rsidRPr="00686825" w:rsidRDefault="00A0131D" w:rsidP="00686825">
            <w:pPr>
              <w:spacing w:line="276" w:lineRule="auto"/>
              <w:jc w:val="both"/>
              <w:rPr>
                <w:rFonts w:ascii="Arial" w:hAnsi="Arial" w:cs="Arial"/>
                <w:sz w:val="22"/>
                <w:szCs w:val="22"/>
                <w:lang w:val="en-US"/>
              </w:rPr>
            </w:pPr>
            <w:r w:rsidRPr="00686825">
              <w:rPr>
                <w:rFonts w:ascii="Arial" w:hAnsi="Arial" w:cs="Arial"/>
                <w:sz w:val="22"/>
                <w:szCs w:val="22"/>
                <w:lang w:val="en-US"/>
              </w:rPr>
              <w:t>10%</w:t>
            </w:r>
          </w:p>
        </w:tc>
      </w:tr>
      <w:tr w:rsidR="00A0131D" w:rsidRPr="00686825" w:rsidTr="009F06DE">
        <w:trPr>
          <w:trHeight w:val="300"/>
        </w:trPr>
        <w:tc>
          <w:tcPr>
            <w:tcW w:w="4928" w:type="dxa"/>
            <w:tcBorders>
              <w:top w:val="nil"/>
              <w:left w:val="single" w:sz="4" w:space="0" w:color="auto"/>
              <w:bottom w:val="single" w:sz="4" w:space="0" w:color="auto"/>
              <w:right w:val="single" w:sz="4" w:space="0" w:color="auto"/>
            </w:tcBorders>
            <w:noWrap/>
            <w:vAlign w:val="bottom"/>
          </w:tcPr>
          <w:p w:rsidR="00A0131D" w:rsidRPr="00686825" w:rsidRDefault="00A0131D" w:rsidP="00686825">
            <w:pPr>
              <w:spacing w:line="276" w:lineRule="auto"/>
              <w:jc w:val="both"/>
              <w:rPr>
                <w:rFonts w:ascii="Arial" w:hAnsi="Arial" w:cs="Arial"/>
                <w:sz w:val="22"/>
                <w:szCs w:val="22"/>
                <w:lang w:val="en-US"/>
              </w:rPr>
            </w:pPr>
            <w:r w:rsidRPr="00686825">
              <w:rPr>
                <w:rFonts w:ascii="Arial" w:hAnsi="Arial" w:cs="Arial"/>
                <w:sz w:val="22"/>
                <w:szCs w:val="22"/>
                <w:lang w:val="en-US"/>
              </w:rPr>
              <w:t>QSE Spend</w:t>
            </w:r>
          </w:p>
        </w:tc>
        <w:tc>
          <w:tcPr>
            <w:tcW w:w="1701" w:type="dxa"/>
            <w:tcBorders>
              <w:top w:val="nil"/>
              <w:left w:val="nil"/>
              <w:bottom w:val="single" w:sz="4" w:space="0" w:color="auto"/>
              <w:right w:val="single" w:sz="4" w:space="0" w:color="auto"/>
            </w:tcBorders>
            <w:noWrap/>
            <w:vAlign w:val="bottom"/>
          </w:tcPr>
          <w:p w:rsidR="00A0131D" w:rsidRPr="00686825" w:rsidRDefault="00A0131D" w:rsidP="00686825">
            <w:pPr>
              <w:spacing w:line="276" w:lineRule="auto"/>
              <w:jc w:val="right"/>
              <w:rPr>
                <w:rFonts w:ascii="Arial" w:hAnsi="Arial" w:cs="Arial"/>
                <w:sz w:val="22"/>
                <w:szCs w:val="22"/>
                <w:lang w:val="en-US"/>
              </w:rPr>
            </w:pPr>
            <w:r w:rsidRPr="00686825">
              <w:rPr>
                <w:rFonts w:ascii="Arial" w:hAnsi="Arial" w:cs="Arial"/>
                <w:sz w:val="22"/>
                <w:szCs w:val="22"/>
                <w:lang w:val="en-US"/>
              </w:rPr>
              <w:t xml:space="preserve">  R 17,331,976 </w:t>
            </w:r>
          </w:p>
        </w:tc>
        <w:tc>
          <w:tcPr>
            <w:tcW w:w="1747" w:type="dxa"/>
            <w:tcBorders>
              <w:top w:val="nil"/>
              <w:left w:val="nil"/>
              <w:bottom w:val="single" w:sz="4" w:space="0" w:color="auto"/>
              <w:right w:val="single" w:sz="4" w:space="0" w:color="auto"/>
            </w:tcBorders>
            <w:noWrap/>
            <w:vAlign w:val="bottom"/>
          </w:tcPr>
          <w:p w:rsidR="00A0131D" w:rsidRPr="00686825" w:rsidRDefault="00A0131D" w:rsidP="00686825">
            <w:pPr>
              <w:spacing w:line="276" w:lineRule="auto"/>
              <w:jc w:val="both"/>
              <w:rPr>
                <w:rFonts w:ascii="Arial" w:hAnsi="Arial" w:cs="Arial"/>
                <w:sz w:val="22"/>
                <w:szCs w:val="22"/>
                <w:lang w:val="en-US"/>
              </w:rPr>
            </w:pPr>
            <w:r w:rsidRPr="00686825">
              <w:rPr>
                <w:rFonts w:ascii="Arial" w:hAnsi="Arial" w:cs="Arial"/>
                <w:sz w:val="22"/>
                <w:szCs w:val="22"/>
                <w:lang w:val="en-US"/>
              </w:rPr>
              <w:t>10%</w:t>
            </w:r>
          </w:p>
        </w:tc>
      </w:tr>
    </w:tbl>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(ii)</w:t>
      </w:r>
      <w:r w:rsidRPr="00686825">
        <w:rPr>
          <w:rFonts w:ascii="Arial" w:hAnsi="Arial" w:cs="Arial"/>
          <w:sz w:val="22"/>
          <w:szCs w:val="22"/>
        </w:rPr>
        <w:tab/>
        <w:t xml:space="preserve">The Bank does not record details pertaining to co-operatives. </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FINANCIAL INTELLIGENCE CENTRE</w:t>
      </w:r>
    </w:p>
    <w:p w:rsidR="00A0131D" w:rsidRPr="00686825" w:rsidRDefault="00A0131D" w:rsidP="00686825">
      <w:pPr>
        <w:spacing w:line="276" w:lineRule="auto"/>
        <w:jc w:val="both"/>
        <w:rPr>
          <w:rFonts w:ascii="Arial" w:hAnsi="Arial" w:cs="Arial"/>
          <w:b/>
          <w:sz w:val="22"/>
          <w:szCs w:val="22"/>
        </w:rPr>
      </w:pPr>
    </w:p>
    <w:p w:rsidR="00A0131D" w:rsidRPr="00686825" w:rsidRDefault="00A0131D" w:rsidP="00686825">
      <w:pPr>
        <w:spacing w:line="276" w:lineRule="auto"/>
        <w:jc w:val="both"/>
        <w:rPr>
          <w:rFonts w:ascii="Arial" w:hAnsi="Arial" w:cs="Arial"/>
          <w:noProof/>
          <w:sz w:val="22"/>
          <w:szCs w:val="22"/>
          <w:lang w:eastAsia="en-ZA"/>
        </w:rPr>
      </w:pPr>
      <w:r w:rsidRPr="00686825">
        <w:rPr>
          <w:rFonts w:ascii="Arial" w:hAnsi="Arial" w:cs="Arial"/>
          <w:noProof/>
          <w:sz w:val="22"/>
          <w:szCs w:val="22"/>
          <w:lang w:eastAsia="en-ZA"/>
        </w:rPr>
        <w:t>(b) (i) 9.72%</w:t>
      </w:r>
    </w:p>
    <w:p w:rsidR="00A0131D" w:rsidRPr="00686825" w:rsidRDefault="00A0131D" w:rsidP="00686825">
      <w:pPr>
        <w:spacing w:line="276" w:lineRule="auto"/>
        <w:jc w:val="both"/>
        <w:rPr>
          <w:rFonts w:ascii="Arial" w:hAnsi="Arial" w:cs="Arial"/>
          <w:noProof/>
          <w:sz w:val="22"/>
          <w:szCs w:val="22"/>
          <w:lang w:eastAsia="en-ZA"/>
        </w:rPr>
      </w:pPr>
      <w:r w:rsidRPr="00686825">
        <w:rPr>
          <w:rFonts w:ascii="Arial" w:hAnsi="Arial" w:cs="Arial"/>
          <w:noProof/>
          <w:sz w:val="22"/>
          <w:szCs w:val="22"/>
          <w:lang w:eastAsia="en-ZA"/>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r w:rsidRPr="00686825">
        <w:rPr>
          <w:rFonts w:ascii="Arial" w:hAnsi="Arial" w:cs="Arial"/>
          <w:noProof/>
          <w:sz w:val="22"/>
          <w:szCs w:val="22"/>
          <w:lang w:val="en-ZA" w:eastAsia="en-ZA"/>
        </w:rPr>
        <w:t xml:space="preserve"> </w:t>
      </w: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FINANCIAL SERVICES BOARD</w:t>
      </w:r>
    </w:p>
    <w:p w:rsidR="00A0131D" w:rsidRPr="00686825" w:rsidRDefault="00A0131D" w:rsidP="00686825">
      <w:pPr>
        <w:spacing w:line="276" w:lineRule="auto"/>
        <w:jc w:val="both"/>
        <w:rPr>
          <w:rFonts w:ascii="Arial" w:hAnsi="Arial" w:cs="Arial"/>
          <w:b/>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 xml:space="preserve">During the period 1 April 2015 to 31 December 2015 the Financial Services Board has disbursed approximately 20% to SMMEs for goods / services procured. </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GOVERNMENT EMPLOYEES PENSION FUND</w:t>
      </w:r>
    </w:p>
    <w:p w:rsidR="00A0131D" w:rsidRPr="00686825" w:rsidRDefault="00A0131D" w:rsidP="00686825">
      <w:pPr>
        <w:spacing w:line="276" w:lineRule="auto"/>
        <w:jc w:val="both"/>
        <w:rPr>
          <w:rFonts w:ascii="Arial" w:hAnsi="Arial" w:cs="Arial"/>
          <w:b/>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36%</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r w:rsidRPr="00686825">
        <w:rPr>
          <w:rFonts w:ascii="Arial" w:hAnsi="Arial" w:cs="Arial"/>
          <w:sz w:val="22"/>
          <w:szCs w:val="22"/>
        </w:rPr>
        <w:t xml:space="preserve"> </w:t>
      </w: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GOVERNMENT PENSIONS ADMINISTRATIVE AGENCY</w:t>
      </w:r>
    </w:p>
    <w:p w:rsidR="00A0131D" w:rsidRPr="00686825" w:rsidRDefault="00A0131D" w:rsidP="00686825">
      <w:pPr>
        <w:spacing w:line="276" w:lineRule="auto"/>
        <w:jc w:val="both"/>
        <w:rPr>
          <w:rFonts w:ascii="Arial" w:hAnsi="Arial" w:cs="Arial"/>
          <w:b/>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10.63%</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b/>
          <w:sz w:val="22"/>
          <w:szCs w:val="22"/>
        </w:rPr>
      </w:pPr>
      <w:r w:rsidRPr="00686825">
        <w:rPr>
          <w:rFonts w:ascii="Arial" w:hAnsi="Arial" w:cs="Arial"/>
          <w:b/>
          <w:sz w:val="22"/>
          <w:szCs w:val="22"/>
        </w:rPr>
        <w:t>INDIPENDENT REGULATORY BOARD FOR AUDITORS</w:t>
      </w: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6.7%</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b/>
          <w:sz w:val="22"/>
          <w:szCs w:val="22"/>
        </w:rPr>
      </w:pPr>
      <w:r w:rsidRPr="00686825">
        <w:rPr>
          <w:rFonts w:ascii="Arial" w:hAnsi="Arial" w:cs="Arial"/>
          <w:b/>
          <w:sz w:val="22"/>
          <w:szCs w:val="22"/>
        </w:rPr>
        <w:t>PENSION FUNDS ADJUDICATOR</w:t>
      </w: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17.3%</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LAND BANK</w:t>
      </w:r>
    </w:p>
    <w:p w:rsidR="00A0131D" w:rsidRPr="00686825" w:rsidRDefault="00A0131D" w:rsidP="00686825">
      <w:pPr>
        <w:spacing w:line="276" w:lineRule="auto"/>
        <w:jc w:val="both"/>
        <w:rPr>
          <w:rFonts w:ascii="Arial" w:hAnsi="Arial" w:cs="Arial"/>
          <w:b/>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100%</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b/>
          <w:bCs/>
          <w:sz w:val="22"/>
          <w:szCs w:val="22"/>
        </w:rPr>
      </w:pPr>
      <w:r w:rsidRPr="00686825">
        <w:rPr>
          <w:rFonts w:ascii="Arial" w:hAnsi="Arial" w:cs="Arial"/>
          <w:b/>
          <w:bCs/>
          <w:sz w:val="22"/>
          <w:szCs w:val="22"/>
        </w:rPr>
        <w:t>OFFICE OF THE OMBUD FOR FINANCIAL SERVICES PROVIDERS</w:t>
      </w: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35%</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 xml:space="preserve">PUBLIC INVESTMENT CORPORATION </w:t>
      </w:r>
    </w:p>
    <w:p w:rsidR="00A0131D" w:rsidRPr="00686825" w:rsidRDefault="00A0131D" w:rsidP="00686825">
      <w:pPr>
        <w:spacing w:line="276" w:lineRule="auto"/>
        <w:jc w:val="both"/>
        <w:rPr>
          <w:rFonts w:ascii="Arial" w:hAnsi="Arial" w:cs="Arial"/>
          <w:b/>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21%</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SOUTH AFRICAN AIRWAYS</w:t>
      </w:r>
    </w:p>
    <w:p w:rsidR="00A0131D" w:rsidRPr="00686825" w:rsidRDefault="00A0131D" w:rsidP="00686825">
      <w:pPr>
        <w:spacing w:line="276" w:lineRule="auto"/>
        <w:jc w:val="both"/>
        <w:rPr>
          <w:rFonts w:ascii="Arial" w:hAnsi="Arial" w:cs="Arial"/>
          <w:b/>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2.29%</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 xml:space="preserve">SOUTH AFRICAN REVENUE SERVICES </w:t>
      </w:r>
    </w:p>
    <w:p w:rsidR="00A0131D" w:rsidRPr="00686825" w:rsidRDefault="00A0131D" w:rsidP="00686825">
      <w:pPr>
        <w:spacing w:line="276" w:lineRule="auto"/>
        <w:jc w:val="both"/>
        <w:rPr>
          <w:rFonts w:ascii="Arial" w:hAnsi="Arial" w:cs="Arial"/>
          <w:b/>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12%</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b/>
          <w:sz w:val="22"/>
          <w:szCs w:val="22"/>
        </w:rPr>
      </w:pPr>
      <w:r w:rsidRPr="00686825">
        <w:rPr>
          <w:rFonts w:ascii="Arial" w:hAnsi="Arial" w:cs="Arial"/>
          <w:b/>
          <w:sz w:val="22"/>
          <w:szCs w:val="22"/>
        </w:rPr>
        <w:t>SASRIA</w:t>
      </w:r>
    </w:p>
    <w:p w:rsidR="00A0131D" w:rsidRPr="00686825"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 6.93%</w:t>
      </w:r>
    </w:p>
    <w:p w:rsidR="00A0131D" w:rsidRPr="00686825" w:rsidRDefault="00A0131D" w:rsidP="00686825">
      <w:pPr>
        <w:spacing w:line="276" w:lineRule="auto"/>
        <w:jc w:val="both"/>
        <w:rPr>
          <w:rFonts w:ascii="Arial" w:hAnsi="Arial" w:cs="Arial"/>
          <w:sz w:val="22"/>
          <w:szCs w:val="22"/>
        </w:rPr>
      </w:pPr>
      <w:r w:rsidRPr="00686825">
        <w:rPr>
          <w:rFonts w:ascii="Arial" w:hAnsi="Arial" w:cs="Arial"/>
          <w:sz w:val="22"/>
          <w:szCs w:val="22"/>
        </w:rPr>
        <w:t>(b) (ii) 0%</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sz w:val="22"/>
          <w:szCs w:val="22"/>
        </w:rPr>
      </w:pPr>
    </w:p>
    <w:p w:rsidR="00A0131D" w:rsidRPr="00686825"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b/>
          <w:sz w:val="22"/>
          <w:szCs w:val="22"/>
        </w:rPr>
      </w:pPr>
      <w:r w:rsidRPr="00686825">
        <w:rPr>
          <w:rFonts w:ascii="Arial" w:hAnsi="Arial" w:cs="Arial"/>
          <w:b/>
          <w:sz w:val="22"/>
          <w:szCs w:val="22"/>
        </w:rPr>
        <w:t>TAX OMBUD</w:t>
      </w:r>
    </w:p>
    <w:p w:rsidR="00A0131D" w:rsidRPr="00686825" w:rsidRDefault="00A0131D" w:rsidP="00686825">
      <w:pPr>
        <w:spacing w:line="276" w:lineRule="auto"/>
        <w:jc w:val="both"/>
        <w:rPr>
          <w:rFonts w:ascii="Arial" w:hAnsi="Arial" w:cs="Arial"/>
          <w:b/>
          <w:sz w:val="22"/>
          <w:szCs w:val="22"/>
        </w:rPr>
      </w:pPr>
    </w:p>
    <w:p w:rsidR="00A0131D" w:rsidRDefault="00A0131D" w:rsidP="00686825">
      <w:pPr>
        <w:pBdr>
          <w:bottom w:val="single" w:sz="6" w:space="1" w:color="auto"/>
        </w:pBdr>
        <w:spacing w:line="276" w:lineRule="auto"/>
        <w:jc w:val="both"/>
        <w:rPr>
          <w:rFonts w:ascii="Arial" w:hAnsi="Arial" w:cs="Arial"/>
          <w:sz w:val="22"/>
          <w:szCs w:val="22"/>
        </w:rPr>
      </w:pPr>
      <w:r w:rsidRPr="00686825">
        <w:rPr>
          <w:rFonts w:ascii="Arial" w:hAnsi="Arial" w:cs="Arial"/>
          <w:sz w:val="22"/>
          <w:szCs w:val="22"/>
        </w:rPr>
        <w:t xml:space="preserve">The Office of the Tax Ombud was established in terms of the Tax Administration Act 28 of 2011 and reports to the Minister of Finance. In terms of the section 15(4) of this Act the expenditure connected with the functions of the Tax Ombud is paid out of the funds of SARS. For this reason all procurement for this office follows SARS’ procurement procedure through SARS’s procurement structures. </w:t>
      </w:r>
    </w:p>
    <w:p w:rsidR="00A0131D" w:rsidRPr="00686825" w:rsidRDefault="00A0131D" w:rsidP="00686825">
      <w:pPr>
        <w:pBdr>
          <w:bottom w:val="single" w:sz="6" w:space="1" w:color="auto"/>
        </w:pBd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sz w:val="22"/>
          <w:szCs w:val="22"/>
        </w:rPr>
      </w:pPr>
    </w:p>
    <w:p w:rsidR="00A0131D" w:rsidRDefault="00A0131D" w:rsidP="00686825">
      <w:pPr>
        <w:spacing w:line="276" w:lineRule="auto"/>
        <w:jc w:val="both"/>
        <w:rPr>
          <w:rFonts w:ascii="Arial" w:hAnsi="Arial" w:cs="Arial"/>
          <w:sz w:val="22"/>
          <w:szCs w:val="22"/>
        </w:rPr>
      </w:pPr>
    </w:p>
    <w:p w:rsidR="00A0131D" w:rsidRPr="00686825" w:rsidRDefault="00A0131D" w:rsidP="00711B27">
      <w:pPr>
        <w:spacing w:line="276" w:lineRule="auto"/>
        <w:jc w:val="both"/>
        <w:rPr>
          <w:rFonts w:ascii="Arial" w:hAnsi="Arial" w:cs="Arial"/>
          <w:b/>
          <w:sz w:val="22"/>
          <w:szCs w:val="22"/>
        </w:rPr>
      </w:pPr>
      <w:r>
        <w:rPr>
          <w:rFonts w:ascii="Arial" w:hAnsi="Arial" w:cs="Arial"/>
          <w:sz w:val="22"/>
          <w:szCs w:val="22"/>
        </w:rPr>
        <w:t xml:space="preserve">The amount spent in the designated categories will vary among entities depending on the services and goods procured. However, I will direct each entity to more actively promote the role of SMMEs and Co-operatives in the procurement process. </w:t>
      </w:r>
      <w:bookmarkStart w:id="0" w:name="_GoBack"/>
      <w:bookmarkEnd w:id="0"/>
    </w:p>
    <w:p w:rsidR="00A0131D" w:rsidRPr="00686825" w:rsidRDefault="00A0131D" w:rsidP="00686825">
      <w:pPr>
        <w:spacing w:line="276" w:lineRule="auto"/>
        <w:jc w:val="both"/>
        <w:rPr>
          <w:rFonts w:ascii="Arial" w:hAnsi="Arial" w:cs="Arial"/>
          <w:b/>
          <w:sz w:val="22"/>
          <w:szCs w:val="22"/>
        </w:rPr>
      </w:pPr>
    </w:p>
    <w:sectPr w:rsidR="00A0131D" w:rsidRPr="00686825" w:rsidSect="00695A9A">
      <w:footerReference w:type="default" r:id="rId7"/>
      <w:pgSz w:w="11909" w:h="16834" w:code="9"/>
      <w:pgMar w:top="899" w:right="1418" w:bottom="71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1D" w:rsidRDefault="00A0131D" w:rsidP="00686825">
      <w:r>
        <w:separator/>
      </w:r>
    </w:p>
  </w:endnote>
  <w:endnote w:type="continuationSeparator" w:id="0">
    <w:p w:rsidR="00A0131D" w:rsidRDefault="00A0131D" w:rsidP="00686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1D" w:rsidRDefault="00A0131D">
    <w:pPr>
      <w:pStyle w:val="Footer"/>
      <w:jc w:val="right"/>
    </w:pPr>
    <w:fldSimple w:instr=" PAGE   \* MERGEFORMAT ">
      <w:r>
        <w:rPr>
          <w:noProof/>
        </w:rPr>
        <w:t>1</w:t>
      </w:r>
    </w:fldSimple>
  </w:p>
  <w:p w:rsidR="00A0131D" w:rsidRDefault="00A01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1D" w:rsidRDefault="00A0131D" w:rsidP="00686825">
      <w:r>
        <w:separator/>
      </w:r>
    </w:p>
  </w:footnote>
  <w:footnote w:type="continuationSeparator" w:id="0">
    <w:p w:rsidR="00A0131D" w:rsidRDefault="00A0131D" w:rsidP="00686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2E4"/>
    <w:multiLevelType w:val="hybridMultilevel"/>
    <w:tmpl w:val="AF42FA66"/>
    <w:lvl w:ilvl="0" w:tplc="4C8030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AD74ECF"/>
    <w:multiLevelType w:val="hybridMultilevel"/>
    <w:tmpl w:val="451810D8"/>
    <w:lvl w:ilvl="0" w:tplc="1C090017">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rPr>
        <w:rFonts w:cs="Times New Roman"/>
      </w:r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C8D104B"/>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CFA5D8E"/>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5D194692"/>
    <w:multiLevelType w:val="hybridMultilevel"/>
    <w:tmpl w:val="D34CA33A"/>
    <w:lvl w:ilvl="0" w:tplc="DA8E3A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0F26024"/>
    <w:multiLevelType w:val="hybridMultilevel"/>
    <w:tmpl w:val="556451BC"/>
    <w:lvl w:ilvl="0" w:tplc="E6443D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7F20C26"/>
    <w:multiLevelType w:val="hybridMultilevel"/>
    <w:tmpl w:val="A74216DA"/>
    <w:lvl w:ilvl="0" w:tplc="7FF8DCAE">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2"/>
  </w:num>
  <w:num w:numId="5">
    <w:abstractNumId w:val="13"/>
  </w:num>
  <w:num w:numId="6">
    <w:abstractNumId w:val="5"/>
  </w:num>
  <w:num w:numId="7">
    <w:abstractNumId w:val="18"/>
  </w:num>
  <w:num w:numId="8">
    <w:abstractNumId w:val="1"/>
  </w:num>
  <w:num w:numId="9">
    <w:abstractNumId w:val="3"/>
  </w:num>
  <w:num w:numId="10">
    <w:abstractNumId w:val="0"/>
  </w:num>
  <w:num w:numId="11">
    <w:abstractNumId w:val="17"/>
  </w:num>
  <w:num w:numId="12">
    <w:abstractNumId w:val="16"/>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917"/>
    <w:rsid w:val="00063BEC"/>
    <w:rsid w:val="000652CF"/>
    <w:rsid w:val="000801B4"/>
    <w:rsid w:val="000B0B7B"/>
    <w:rsid w:val="000E3805"/>
    <w:rsid w:val="00104D29"/>
    <w:rsid w:val="001131D9"/>
    <w:rsid w:val="00120022"/>
    <w:rsid w:val="00136CB9"/>
    <w:rsid w:val="001433AE"/>
    <w:rsid w:val="00166953"/>
    <w:rsid w:val="00175842"/>
    <w:rsid w:val="001837AD"/>
    <w:rsid w:val="00187494"/>
    <w:rsid w:val="001A683D"/>
    <w:rsid w:val="001B21C0"/>
    <w:rsid w:val="001C51A3"/>
    <w:rsid w:val="001E6902"/>
    <w:rsid w:val="001F223B"/>
    <w:rsid w:val="0021081B"/>
    <w:rsid w:val="00247658"/>
    <w:rsid w:val="00252C87"/>
    <w:rsid w:val="002549F9"/>
    <w:rsid w:val="00257D88"/>
    <w:rsid w:val="002722CF"/>
    <w:rsid w:val="002F5E69"/>
    <w:rsid w:val="002F7629"/>
    <w:rsid w:val="00303310"/>
    <w:rsid w:val="00310C5A"/>
    <w:rsid w:val="00323CC8"/>
    <w:rsid w:val="00366412"/>
    <w:rsid w:val="00391116"/>
    <w:rsid w:val="003B5D8E"/>
    <w:rsid w:val="003E561D"/>
    <w:rsid w:val="003F0AC4"/>
    <w:rsid w:val="00411047"/>
    <w:rsid w:val="00433463"/>
    <w:rsid w:val="0048061D"/>
    <w:rsid w:val="00487065"/>
    <w:rsid w:val="004A5ED5"/>
    <w:rsid w:val="004B4052"/>
    <w:rsid w:val="004C5679"/>
    <w:rsid w:val="004C7422"/>
    <w:rsid w:val="00501C0E"/>
    <w:rsid w:val="005141B3"/>
    <w:rsid w:val="0052094C"/>
    <w:rsid w:val="00524983"/>
    <w:rsid w:val="00530F50"/>
    <w:rsid w:val="005A30FB"/>
    <w:rsid w:val="005D4557"/>
    <w:rsid w:val="00602546"/>
    <w:rsid w:val="00603762"/>
    <w:rsid w:val="00611A0A"/>
    <w:rsid w:val="00613FC6"/>
    <w:rsid w:val="00684AAB"/>
    <w:rsid w:val="00686825"/>
    <w:rsid w:val="00695A9A"/>
    <w:rsid w:val="006B1504"/>
    <w:rsid w:val="006B5828"/>
    <w:rsid w:val="006E2472"/>
    <w:rsid w:val="006E56A2"/>
    <w:rsid w:val="00702034"/>
    <w:rsid w:val="00702043"/>
    <w:rsid w:val="00711B27"/>
    <w:rsid w:val="00716D12"/>
    <w:rsid w:val="00736CFE"/>
    <w:rsid w:val="0076584C"/>
    <w:rsid w:val="0079063F"/>
    <w:rsid w:val="007B66A0"/>
    <w:rsid w:val="00800C91"/>
    <w:rsid w:val="00807F57"/>
    <w:rsid w:val="00810D64"/>
    <w:rsid w:val="00814F3C"/>
    <w:rsid w:val="0087366B"/>
    <w:rsid w:val="0087557B"/>
    <w:rsid w:val="00886448"/>
    <w:rsid w:val="00892134"/>
    <w:rsid w:val="008B5B10"/>
    <w:rsid w:val="008D26AB"/>
    <w:rsid w:val="008D419D"/>
    <w:rsid w:val="0091205F"/>
    <w:rsid w:val="00956BFC"/>
    <w:rsid w:val="00957F87"/>
    <w:rsid w:val="0096291A"/>
    <w:rsid w:val="009A18A7"/>
    <w:rsid w:val="009F06DE"/>
    <w:rsid w:val="00A0131D"/>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13273"/>
    <w:rsid w:val="00B409C6"/>
    <w:rsid w:val="00B75338"/>
    <w:rsid w:val="00B940DF"/>
    <w:rsid w:val="00BB1CB3"/>
    <w:rsid w:val="00BC3017"/>
    <w:rsid w:val="00BE0961"/>
    <w:rsid w:val="00BF6291"/>
    <w:rsid w:val="00C02CE0"/>
    <w:rsid w:val="00C21E1B"/>
    <w:rsid w:val="00C44C35"/>
    <w:rsid w:val="00C540F1"/>
    <w:rsid w:val="00CA56BB"/>
    <w:rsid w:val="00CB3CED"/>
    <w:rsid w:val="00CD717F"/>
    <w:rsid w:val="00CF0917"/>
    <w:rsid w:val="00D0120D"/>
    <w:rsid w:val="00D252CF"/>
    <w:rsid w:val="00D26B3A"/>
    <w:rsid w:val="00D32984"/>
    <w:rsid w:val="00D71DE6"/>
    <w:rsid w:val="00D747FF"/>
    <w:rsid w:val="00DA225F"/>
    <w:rsid w:val="00DB4D79"/>
    <w:rsid w:val="00DB6B3C"/>
    <w:rsid w:val="00DB763A"/>
    <w:rsid w:val="00DF1734"/>
    <w:rsid w:val="00E21152"/>
    <w:rsid w:val="00E26C88"/>
    <w:rsid w:val="00E32136"/>
    <w:rsid w:val="00E339B7"/>
    <w:rsid w:val="00E44AF7"/>
    <w:rsid w:val="00E6523B"/>
    <w:rsid w:val="00E72933"/>
    <w:rsid w:val="00E77DF6"/>
    <w:rsid w:val="00EA5314"/>
    <w:rsid w:val="00EA6440"/>
    <w:rsid w:val="00EB0EA7"/>
    <w:rsid w:val="00ED4459"/>
    <w:rsid w:val="00ED6014"/>
    <w:rsid w:val="00F1697A"/>
    <w:rsid w:val="00F24B8C"/>
    <w:rsid w:val="00F24EF0"/>
    <w:rsid w:val="00FA66F6"/>
    <w:rsid w:val="00FC2B87"/>
    <w:rsid w:val="00FC6990"/>
    <w:rsid w:val="00FF7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uiPriority w:val="99"/>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DB4"/>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32DB4"/>
    <w:rPr>
      <w:rFonts w:asciiTheme="majorHAnsi" w:eastAsiaTheme="majorEastAsia" w:hAnsiTheme="majorHAnsi" w:cstheme="majorBidi"/>
      <w:b/>
      <w:bCs/>
      <w:i/>
      <w:iCs/>
      <w:sz w:val="28"/>
      <w:szCs w:val="28"/>
      <w:lang w:val="en-GB"/>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F223B"/>
    <w:rPr>
      <w:sz w:val="24"/>
      <w:lang w:val="en-GB" w:eastAsia="en-US"/>
    </w:rPr>
  </w:style>
  <w:style w:type="paragraph" w:customStyle="1" w:styleId="Style">
    <w:name w:val="Style"/>
    <w:basedOn w:val="Normal"/>
    <w:uiPriority w:val="99"/>
    <w:rsid w:val="001433AE"/>
    <w:rPr>
      <w:rFonts w:ascii="Arial" w:hAnsi="Arial" w:cs="Arial"/>
      <w:sz w:val="22"/>
      <w:szCs w:val="22"/>
      <w:lang w:val="en-AU"/>
    </w:rPr>
  </w:style>
  <w:style w:type="paragraph" w:customStyle="1" w:styleId="CharCharCharCharCharChar">
    <w:name w:val="Char Char Char Char Char Char"/>
    <w:basedOn w:val="Normal"/>
    <w:uiPriority w:val="99"/>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uiPriority w:val="99"/>
    <w:rsid w:val="00A42134"/>
    <w:pPr>
      <w:spacing w:after="160" w:line="240" w:lineRule="exact"/>
    </w:pPr>
    <w:rPr>
      <w:rFonts w:ascii="Verdana" w:hAnsi="Verdana"/>
      <w:sz w:val="20"/>
      <w:szCs w:val="20"/>
      <w:lang w:val="en-US"/>
    </w:rPr>
  </w:style>
  <w:style w:type="paragraph" w:customStyle="1" w:styleId="TTI">
    <w:name w:val="TTI"/>
    <w:uiPriority w:val="99"/>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rPr>
  </w:style>
  <w:style w:type="paragraph" w:styleId="BodyTextIndent2">
    <w:name w:val="Body Text Indent 2"/>
    <w:basedOn w:val="Normal"/>
    <w:link w:val="BodyTextIndent2Char"/>
    <w:uiPriority w:val="99"/>
    <w:rsid w:val="00695A9A"/>
    <w:pPr>
      <w:spacing w:after="120" w:line="480" w:lineRule="auto"/>
      <w:ind w:left="283"/>
    </w:pPr>
  </w:style>
  <w:style w:type="character" w:customStyle="1" w:styleId="BodyTextIndent2Char">
    <w:name w:val="Body Text Indent 2 Char"/>
    <w:basedOn w:val="DefaultParagraphFont"/>
    <w:link w:val="BodyTextIndent2"/>
    <w:uiPriority w:val="99"/>
    <w:semiHidden/>
    <w:rsid w:val="00732DB4"/>
    <w:rPr>
      <w:sz w:val="24"/>
      <w:szCs w:val="24"/>
      <w:lang w:val="en-GB"/>
    </w:rPr>
  </w:style>
  <w:style w:type="table" w:styleId="TableGrid">
    <w:name w:val="Table Grid"/>
    <w:basedOn w:val="TableNormal"/>
    <w:uiPriority w:val="99"/>
    <w:rsid w:val="005249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A5314"/>
    <w:rPr>
      <w:rFonts w:ascii="Tahoma" w:hAnsi="Tahoma"/>
      <w:sz w:val="16"/>
      <w:szCs w:val="16"/>
    </w:rPr>
  </w:style>
  <w:style w:type="character" w:customStyle="1" w:styleId="BalloonTextChar">
    <w:name w:val="Balloon Text Char"/>
    <w:basedOn w:val="DefaultParagraphFont"/>
    <w:link w:val="BalloonText"/>
    <w:uiPriority w:val="99"/>
    <w:locked/>
    <w:rsid w:val="00EA5314"/>
    <w:rPr>
      <w:rFonts w:ascii="Tahoma" w:hAnsi="Tahoma"/>
      <w:sz w:val="16"/>
      <w:lang w:val="en-GB"/>
    </w:rPr>
  </w:style>
  <w:style w:type="paragraph" w:styleId="ListParagraph">
    <w:name w:val="List Paragraph"/>
    <w:basedOn w:val="Normal"/>
    <w:uiPriority w:val="99"/>
    <w:qFormat/>
    <w:rsid w:val="003B5D8E"/>
    <w:pPr>
      <w:ind w:left="720"/>
      <w:contextualSpacing/>
    </w:pPr>
  </w:style>
  <w:style w:type="paragraph" w:styleId="Header">
    <w:name w:val="header"/>
    <w:basedOn w:val="Normal"/>
    <w:link w:val="HeaderChar"/>
    <w:uiPriority w:val="99"/>
    <w:rsid w:val="00686825"/>
    <w:pPr>
      <w:tabs>
        <w:tab w:val="center" w:pos="4513"/>
        <w:tab w:val="right" w:pos="9026"/>
      </w:tabs>
    </w:pPr>
  </w:style>
  <w:style w:type="character" w:customStyle="1" w:styleId="HeaderChar">
    <w:name w:val="Header Char"/>
    <w:basedOn w:val="DefaultParagraphFont"/>
    <w:link w:val="Header"/>
    <w:uiPriority w:val="99"/>
    <w:locked/>
    <w:rsid w:val="00686825"/>
    <w:rPr>
      <w:rFonts w:cs="Times New Roman"/>
      <w:sz w:val="24"/>
      <w:szCs w:val="24"/>
      <w:lang w:val="en-GB" w:eastAsia="en-US"/>
    </w:rPr>
  </w:style>
  <w:style w:type="paragraph" w:styleId="Footer">
    <w:name w:val="footer"/>
    <w:basedOn w:val="Normal"/>
    <w:link w:val="FooterChar"/>
    <w:uiPriority w:val="99"/>
    <w:rsid w:val="00686825"/>
    <w:pPr>
      <w:tabs>
        <w:tab w:val="center" w:pos="4513"/>
        <w:tab w:val="right" w:pos="9026"/>
      </w:tabs>
    </w:pPr>
  </w:style>
  <w:style w:type="character" w:customStyle="1" w:styleId="FooterChar">
    <w:name w:val="Footer Char"/>
    <w:basedOn w:val="DefaultParagraphFont"/>
    <w:link w:val="Footer"/>
    <w:uiPriority w:val="99"/>
    <w:locked/>
    <w:rsid w:val="00686825"/>
    <w:rPr>
      <w:rFonts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18579312">
      <w:marLeft w:val="0"/>
      <w:marRight w:val="0"/>
      <w:marTop w:val="0"/>
      <w:marBottom w:val="0"/>
      <w:divBdr>
        <w:top w:val="none" w:sz="0" w:space="0" w:color="auto"/>
        <w:left w:val="none" w:sz="0" w:space="0" w:color="auto"/>
        <w:bottom w:val="none" w:sz="0" w:space="0" w:color="auto"/>
        <w:right w:val="none" w:sz="0" w:space="0" w:color="auto"/>
      </w:divBdr>
    </w:div>
    <w:div w:id="318579313">
      <w:marLeft w:val="0"/>
      <w:marRight w:val="0"/>
      <w:marTop w:val="0"/>
      <w:marBottom w:val="0"/>
      <w:divBdr>
        <w:top w:val="none" w:sz="0" w:space="0" w:color="auto"/>
        <w:left w:val="none" w:sz="0" w:space="0" w:color="auto"/>
        <w:bottom w:val="none" w:sz="0" w:space="0" w:color="auto"/>
        <w:right w:val="none" w:sz="0" w:space="0" w:color="auto"/>
      </w:divBdr>
    </w:div>
    <w:div w:id="318579314">
      <w:marLeft w:val="0"/>
      <w:marRight w:val="0"/>
      <w:marTop w:val="0"/>
      <w:marBottom w:val="0"/>
      <w:divBdr>
        <w:top w:val="none" w:sz="0" w:space="0" w:color="auto"/>
        <w:left w:val="none" w:sz="0" w:space="0" w:color="auto"/>
        <w:bottom w:val="none" w:sz="0" w:space="0" w:color="auto"/>
        <w:right w:val="none" w:sz="0" w:space="0" w:color="auto"/>
      </w:divBdr>
    </w:div>
    <w:div w:id="318579315">
      <w:marLeft w:val="0"/>
      <w:marRight w:val="0"/>
      <w:marTop w:val="0"/>
      <w:marBottom w:val="0"/>
      <w:divBdr>
        <w:top w:val="none" w:sz="0" w:space="0" w:color="auto"/>
        <w:left w:val="none" w:sz="0" w:space="0" w:color="auto"/>
        <w:bottom w:val="none" w:sz="0" w:space="0" w:color="auto"/>
        <w:right w:val="none" w:sz="0" w:space="0" w:color="auto"/>
      </w:divBdr>
    </w:div>
    <w:div w:id="318579316">
      <w:marLeft w:val="0"/>
      <w:marRight w:val="0"/>
      <w:marTop w:val="0"/>
      <w:marBottom w:val="0"/>
      <w:divBdr>
        <w:top w:val="none" w:sz="0" w:space="0" w:color="auto"/>
        <w:left w:val="none" w:sz="0" w:space="0" w:color="auto"/>
        <w:bottom w:val="none" w:sz="0" w:space="0" w:color="auto"/>
        <w:right w:val="none" w:sz="0" w:space="0" w:color="auto"/>
      </w:divBdr>
    </w:div>
    <w:div w:id="318579317">
      <w:marLeft w:val="0"/>
      <w:marRight w:val="0"/>
      <w:marTop w:val="0"/>
      <w:marBottom w:val="0"/>
      <w:divBdr>
        <w:top w:val="none" w:sz="0" w:space="0" w:color="auto"/>
        <w:left w:val="none" w:sz="0" w:space="0" w:color="auto"/>
        <w:bottom w:val="none" w:sz="0" w:space="0" w:color="auto"/>
        <w:right w:val="none" w:sz="0" w:space="0" w:color="auto"/>
      </w:divBdr>
    </w:div>
    <w:div w:id="318579318">
      <w:marLeft w:val="0"/>
      <w:marRight w:val="0"/>
      <w:marTop w:val="0"/>
      <w:marBottom w:val="0"/>
      <w:divBdr>
        <w:top w:val="none" w:sz="0" w:space="0" w:color="auto"/>
        <w:left w:val="none" w:sz="0" w:space="0" w:color="auto"/>
        <w:bottom w:val="none" w:sz="0" w:space="0" w:color="auto"/>
        <w:right w:val="none" w:sz="0" w:space="0" w:color="auto"/>
      </w:divBdr>
    </w:div>
    <w:div w:id="318579319">
      <w:marLeft w:val="0"/>
      <w:marRight w:val="0"/>
      <w:marTop w:val="0"/>
      <w:marBottom w:val="0"/>
      <w:divBdr>
        <w:top w:val="none" w:sz="0" w:space="0" w:color="auto"/>
        <w:left w:val="none" w:sz="0" w:space="0" w:color="auto"/>
        <w:bottom w:val="none" w:sz="0" w:space="0" w:color="auto"/>
        <w:right w:val="none" w:sz="0" w:space="0" w:color="auto"/>
      </w:divBdr>
    </w:div>
    <w:div w:id="318579320">
      <w:marLeft w:val="0"/>
      <w:marRight w:val="0"/>
      <w:marTop w:val="0"/>
      <w:marBottom w:val="0"/>
      <w:divBdr>
        <w:top w:val="none" w:sz="0" w:space="0" w:color="auto"/>
        <w:left w:val="none" w:sz="0" w:space="0" w:color="auto"/>
        <w:bottom w:val="none" w:sz="0" w:space="0" w:color="auto"/>
        <w:right w:val="none" w:sz="0" w:space="0" w:color="auto"/>
      </w:divBdr>
    </w:div>
    <w:div w:id="318579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470</Words>
  <Characters>2682</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2012-05-18T13:13:00Z</cp:lastPrinted>
  <dcterms:created xsi:type="dcterms:W3CDTF">2016-04-06T11:58:00Z</dcterms:created>
  <dcterms:modified xsi:type="dcterms:W3CDTF">2016-04-06T11:58:00Z</dcterms:modified>
</cp:coreProperties>
</file>