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30EDD" w14:textId="77777777" w:rsidR="00C53D0D" w:rsidRPr="004D116D" w:rsidRDefault="00C53D0D" w:rsidP="00C53D0D">
      <w:pPr>
        <w:spacing w:line="276" w:lineRule="auto"/>
        <w:ind w:left="-142" w:right="328"/>
        <w:jc w:val="center"/>
        <w:rPr>
          <w:szCs w:val="24"/>
        </w:rPr>
      </w:pPr>
      <w:bookmarkStart w:id="0" w:name="_GoBack"/>
      <w:bookmarkEnd w:id="0"/>
      <w:r w:rsidRPr="004D116D">
        <w:rPr>
          <w:noProof/>
          <w:szCs w:val="24"/>
          <w:lang w:val="en-ZA" w:eastAsia="en-ZA"/>
        </w:rPr>
        <w:drawing>
          <wp:inline distT="0" distB="0" distL="0" distR="0" wp14:anchorId="5554379E" wp14:editId="1AE69366">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14:paraId="56FDFF4A" w14:textId="77777777" w:rsidR="00C53D0D" w:rsidRPr="004D116D" w:rsidRDefault="00C53D0D" w:rsidP="00C53D0D">
      <w:pPr>
        <w:spacing w:line="276" w:lineRule="auto"/>
        <w:ind w:left="426" w:right="328" w:firstLine="720"/>
        <w:rPr>
          <w:rFonts w:cs="Arial"/>
          <w:b/>
          <w:szCs w:val="24"/>
        </w:rPr>
      </w:pPr>
    </w:p>
    <w:p w14:paraId="69378CE7" w14:textId="77777777" w:rsidR="00C53D0D" w:rsidRPr="004D116D" w:rsidRDefault="00C53D0D" w:rsidP="00C53D0D">
      <w:pPr>
        <w:spacing w:line="276" w:lineRule="auto"/>
        <w:ind w:right="328"/>
        <w:jc w:val="center"/>
        <w:rPr>
          <w:rFonts w:cs="Arial"/>
          <w:b/>
          <w:szCs w:val="24"/>
        </w:rPr>
      </w:pPr>
      <w:r w:rsidRPr="004D116D">
        <w:rPr>
          <w:rFonts w:cs="Arial"/>
          <w:b/>
          <w:szCs w:val="24"/>
        </w:rPr>
        <w:t>DEPARTMENT: PUBLIC ENTERPRISES</w:t>
      </w:r>
    </w:p>
    <w:p w14:paraId="13255DA7" w14:textId="77777777" w:rsidR="00C53D0D" w:rsidRPr="004D116D" w:rsidRDefault="00C53D0D" w:rsidP="00C53D0D">
      <w:pPr>
        <w:spacing w:line="276" w:lineRule="auto"/>
        <w:ind w:right="328"/>
        <w:jc w:val="center"/>
        <w:rPr>
          <w:rFonts w:cs="Arial"/>
          <w:b/>
          <w:szCs w:val="24"/>
        </w:rPr>
      </w:pPr>
      <w:r w:rsidRPr="004D116D">
        <w:rPr>
          <w:rFonts w:cs="Arial"/>
          <w:b/>
          <w:szCs w:val="24"/>
        </w:rPr>
        <w:t>REPUBLIC OF SOUTH AFRICA</w:t>
      </w:r>
    </w:p>
    <w:p w14:paraId="1B867A14" w14:textId="77777777" w:rsidR="00E036AD" w:rsidRDefault="00E036AD" w:rsidP="00E036AD">
      <w:pPr>
        <w:spacing w:line="276" w:lineRule="auto"/>
        <w:ind w:right="328"/>
        <w:rPr>
          <w:rFonts w:cs="Arial"/>
          <w:b/>
          <w:szCs w:val="24"/>
        </w:rPr>
      </w:pPr>
    </w:p>
    <w:p w14:paraId="110623C4" w14:textId="77777777" w:rsidR="00C53D0D" w:rsidRPr="004D116D" w:rsidRDefault="00C53D0D" w:rsidP="00E036AD">
      <w:pPr>
        <w:spacing w:line="276" w:lineRule="auto"/>
        <w:ind w:right="328"/>
        <w:rPr>
          <w:rFonts w:cs="Arial"/>
          <w:b/>
          <w:szCs w:val="24"/>
        </w:rPr>
      </w:pPr>
      <w:r w:rsidRPr="004D116D">
        <w:rPr>
          <w:rFonts w:cs="Arial"/>
          <w:b/>
          <w:szCs w:val="24"/>
        </w:rPr>
        <w:t>NATIONAL ASSEMBLY</w:t>
      </w:r>
    </w:p>
    <w:p w14:paraId="3396C928" w14:textId="77777777" w:rsidR="00C53D0D" w:rsidRPr="004D116D" w:rsidRDefault="00C53D0D" w:rsidP="00C53D0D">
      <w:pPr>
        <w:spacing w:line="276" w:lineRule="auto"/>
        <w:ind w:left="426" w:right="328"/>
        <w:rPr>
          <w:rFonts w:cs="Arial"/>
          <w:b/>
          <w:bCs/>
          <w:szCs w:val="24"/>
        </w:rPr>
      </w:pPr>
    </w:p>
    <w:p w14:paraId="3AAFCACA" w14:textId="77777777" w:rsidR="00486944" w:rsidRPr="00486944" w:rsidRDefault="00486944" w:rsidP="00486944">
      <w:pPr>
        <w:spacing w:before="100" w:beforeAutospacing="1" w:after="100" w:afterAutospacing="1"/>
        <w:ind w:left="851" w:hanging="851"/>
        <w:rPr>
          <w:rFonts w:cs="Arial"/>
          <w:szCs w:val="24"/>
          <w:lang w:val="en-ZA"/>
        </w:rPr>
      </w:pPr>
      <w:r w:rsidRPr="00486944">
        <w:rPr>
          <w:rFonts w:cs="Arial"/>
          <w:b/>
          <w:szCs w:val="24"/>
          <w:lang w:val="en-ZA"/>
        </w:rPr>
        <w:t>3665.</w:t>
      </w:r>
      <w:r w:rsidRPr="00486944">
        <w:rPr>
          <w:rFonts w:cs="Arial"/>
          <w:b/>
          <w:szCs w:val="24"/>
          <w:lang w:val="en-ZA"/>
        </w:rPr>
        <w:tab/>
        <w:t xml:space="preserve">Mr M </w:t>
      </w:r>
      <w:proofErr w:type="spellStart"/>
      <w:r w:rsidRPr="00486944">
        <w:rPr>
          <w:rFonts w:cs="Arial"/>
          <w:b/>
          <w:szCs w:val="24"/>
          <w:lang w:val="en-ZA"/>
        </w:rPr>
        <w:t>M</w:t>
      </w:r>
      <w:proofErr w:type="spellEnd"/>
      <w:r w:rsidRPr="00486944">
        <w:rPr>
          <w:rFonts w:cs="Arial"/>
          <w:b/>
          <w:szCs w:val="24"/>
          <w:lang w:val="en-ZA"/>
        </w:rPr>
        <w:t xml:space="preserve"> Dlamini (EFF) to ask the Minister of Public Enterprises:</w:t>
      </w:r>
    </w:p>
    <w:p w14:paraId="05037743" w14:textId="77777777" w:rsidR="00486944" w:rsidRPr="00486944" w:rsidRDefault="00486944" w:rsidP="00486944">
      <w:pPr>
        <w:spacing w:before="100" w:beforeAutospacing="1" w:after="100" w:afterAutospacing="1"/>
        <w:ind w:left="851"/>
        <w:jc w:val="both"/>
        <w:rPr>
          <w:rFonts w:cs="Arial"/>
          <w:szCs w:val="24"/>
        </w:rPr>
      </w:pPr>
      <w:r w:rsidRPr="00486944">
        <w:rPr>
          <w:rFonts w:cs="Arial"/>
          <w:szCs w:val="24"/>
          <w:lang w:val="en-ZA"/>
        </w:rPr>
        <w:t xml:space="preserve">(a) What number of public resorts were managed by Aventura Ltd before it was </w:t>
      </w:r>
      <w:r w:rsidRPr="00486944">
        <w:rPr>
          <w:rFonts w:cs="Arial"/>
          <w:szCs w:val="24"/>
        </w:rPr>
        <w:t>liquidated</w:t>
      </w:r>
      <w:r w:rsidRPr="00486944">
        <w:rPr>
          <w:rFonts w:cs="Arial"/>
          <w:szCs w:val="24"/>
          <w:lang w:val="en-ZA"/>
        </w:rPr>
        <w:t>, (b) what were the specific reasons for the liquidation of Aventura Ltd and (c)(</w:t>
      </w:r>
      <w:proofErr w:type="spellStart"/>
      <w:r w:rsidRPr="00486944">
        <w:rPr>
          <w:rFonts w:cs="Arial"/>
          <w:szCs w:val="24"/>
          <w:lang w:val="en-ZA"/>
        </w:rPr>
        <w:t>i</w:t>
      </w:r>
      <w:proofErr w:type="spellEnd"/>
      <w:r w:rsidRPr="00486944">
        <w:rPr>
          <w:rFonts w:cs="Arial"/>
          <w:szCs w:val="24"/>
          <w:lang w:val="en-ZA"/>
        </w:rPr>
        <w:t>) to whom were the public resorts that were managed by Aventura Ltd sold and (ii) at what price?</w:t>
      </w:r>
      <w:r w:rsidRPr="00486944">
        <w:rPr>
          <w:rFonts w:cs="Arial"/>
          <w:szCs w:val="24"/>
          <w:lang w:val="en-ZA"/>
        </w:rPr>
        <w:tab/>
      </w:r>
      <w:r w:rsidRPr="00486944">
        <w:rPr>
          <w:rFonts w:cs="Arial"/>
          <w:szCs w:val="24"/>
          <w:lang w:val="en-ZA"/>
        </w:rPr>
        <w:tab/>
      </w:r>
      <w:r w:rsidRPr="00486944">
        <w:rPr>
          <w:rFonts w:cs="Arial"/>
          <w:szCs w:val="24"/>
          <w:lang w:val="en-ZA"/>
        </w:rPr>
        <w:tab/>
      </w:r>
      <w:r w:rsidRPr="00486944">
        <w:rPr>
          <w:rFonts w:cs="Arial"/>
          <w:szCs w:val="24"/>
          <w:lang w:val="en-ZA"/>
        </w:rPr>
        <w:tab/>
      </w:r>
      <w:r w:rsidRPr="00486944">
        <w:rPr>
          <w:rFonts w:cs="Arial"/>
          <w:szCs w:val="24"/>
          <w:lang w:val="en-ZA"/>
        </w:rPr>
        <w:tab/>
      </w:r>
      <w:r w:rsidRPr="00486944">
        <w:rPr>
          <w:rFonts w:cs="Arial"/>
          <w:szCs w:val="24"/>
          <w:lang w:val="en-ZA"/>
        </w:rPr>
        <w:tab/>
      </w:r>
      <w:r w:rsidRPr="00486944">
        <w:rPr>
          <w:rFonts w:cs="Arial"/>
          <w:szCs w:val="24"/>
          <w:lang w:val="en-ZA"/>
        </w:rPr>
        <w:tab/>
      </w:r>
      <w:r w:rsidRPr="00486944">
        <w:rPr>
          <w:rFonts w:cs="Arial"/>
          <w:szCs w:val="24"/>
          <w:lang w:val="en-ZA"/>
        </w:rPr>
        <w:tab/>
        <w:t>NW4239E</w:t>
      </w:r>
    </w:p>
    <w:p w14:paraId="7102EA94" w14:textId="77777777" w:rsidR="00C53D0D" w:rsidRDefault="00C53D0D" w:rsidP="00C53D0D">
      <w:pPr>
        <w:pStyle w:val="NormalWeb"/>
        <w:spacing w:after="0" w:line="360" w:lineRule="auto"/>
        <w:rPr>
          <w:rFonts w:ascii="Arial" w:hAnsi="Arial" w:cs="Arial"/>
          <w:bCs/>
        </w:rPr>
      </w:pPr>
    </w:p>
    <w:p w14:paraId="17EE142C" w14:textId="77777777" w:rsidR="00C53D0D" w:rsidRDefault="00C53D0D" w:rsidP="00C53D0D">
      <w:pPr>
        <w:pStyle w:val="NormalWeb"/>
        <w:spacing w:after="0" w:line="360" w:lineRule="auto"/>
        <w:rPr>
          <w:rFonts w:ascii="Arial" w:hAnsi="Arial" w:cs="Arial"/>
          <w:b/>
          <w:bCs/>
        </w:rPr>
      </w:pPr>
      <w:r w:rsidRPr="00BF0A3F">
        <w:rPr>
          <w:rFonts w:ascii="Arial" w:hAnsi="Arial" w:cs="Arial"/>
          <w:b/>
          <w:bCs/>
        </w:rPr>
        <w:t xml:space="preserve">REPLY: </w:t>
      </w:r>
    </w:p>
    <w:p w14:paraId="23889EBF" w14:textId="77777777" w:rsidR="00C53D0D" w:rsidRDefault="00C53D0D" w:rsidP="00C53D0D">
      <w:pPr>
        <w:pStyle w:val="NormalWeb"/>
        <w:spacing w:after="0" w:line="360" w:lineRule="auto"/>
        <w:rPr>
          <w:rFonts w:ascii="Arial" w:hAnsi="Arial" w:cs="Arial"/>
          <w:b/>
          <w:bCs/>
        </w:rPr>
      </w:pPr>
    </w:p>
    <w:p w14:paraId="4B3ED928" w14:textId="77777777" w:rsidR="00C53D0D" w:rsidRDefault="00C53D0D" w:rsidP="00C53D0D">
      <w:pPr>
        <w:pStyle w:val="NormalWeb"/>
        <w:spacing w:after="0" w:line="360" w:lineRule="auto"/>
        <w:rPr>
          <w:rFonts w:ascii="Arial" w:hAnsi="Arial" w:cs="Arial"/>
          <w:b/>
          <w:bCs/>
        </w:rPr>
      </w:pPr>
      <w:r>
        <w:rPr>
          <w:rFonts w:ascii="Arial" w:hAnsi="Arial" w:cs="Arial"/>
          <w:b/>
          <w:bCs/>
        </w:rPr>
        <w:t>DPE response</w:t>
      </w:r>
    </w:p>
    <w:p w14:paraId="451DB038" w14:textId="77777777" w:rsidR="00486944" w:rsidRPr="00486944" w:rsidRDefault="00486944" w:rsidP="00486944">
      <w:pPr>
        <w:jc w:val="both"/>
        <w:rPr>
          <w:rFonts w:cs="Arial"/>
          <w:szCs w:val="24"/>
        </w:rPr>
      </w:pPr>
    </w:p>
    <w:p w14:paraId="1EFE2246" w14:textId="77777777" w:rsidR="00486944" w:rsidRPr="00486944" w:rsidRDefault="00486944" w:rsidP="00486944">
      <w:pPr>
        <w:pStyle w:val="ListParagraph"/>
        <w:numPr>
          <w:ilvl w:val="0"/>
          <w:numId w:val="2"/>
        </w:numPr>
        <w:ind w:left="630" w:hanging="720"/>
        <w:jc w:val="both"/>
        <w:rPr>
          <w:rFonts w:cs="Arial"/>
          <w:szCs w:val="24"/>
        </w:rPr>
      </w:pPr>
      <w:r w:rsidRPr="00486944">
        <w:rPr>
          <w:rFonts w:cs="Arial"/>
          <w:szCs w:val="24"/>
        </w:rPr>
        <w:t>There were in total fourteen</w:t>
      </w:r>
      <w:r>
        <w:rPr>
          <w:rFonts w:cs="Arial"/>
          <w:szCs w:val="24"/>
        </w:rPr>
        <w:t xml:space="preserve"> </w:t>
      </w:r>
      <w:r w:rsidRPr="00486944">
        <w:rPr>
          <w:rFonts w:cs="Arial"/>
          <w:szCs w:val="24"/>
        </w:rPr>
        <w:t xml:space="preserve">(14) public resorts that </w:t>
      </w:r>
      <w:proofErr w:type="gramStart"/>
      <w:r w:rsidRPr="00486944">
        <w:rPr>
          <w:rFonts w:cs="Arial"/>
          <w:szCs w:val="24"/>
        </w:rPr>
        <w:t>were managed</w:t>
      </w:r>
      <w:proofErr w:type="gramEnd"/>
      <w:r w:rsidRPr="00486944">
        <w:rPr>
          <w:rFonts w:cs="Arial"/>
          <w:szCs w:val="24"/>
        </w:rPr>
        <w:t xml:space="preserve"> by Aventura. Six of those resorts, which </w:t>
      </w:r>
      <w:proofErr w:type="gramStart"/>
      <w:r w:rsidRPr="00486944">
        <w:rPr>
          <w:rFonts w:cs="Arial"/>
          <w:szCs w:val="24"/>
        </w:rPr>
        <w:t>were seriously loss</w:t>
      </w:r>
      <w:proofErr w:type="gramEnd"/>
      <w:r w:rsidRPr="00486944">
        <w:rPr>
          <w:rFonts w:cs="Arial"/>
          <w:szCs w:val="24"/>
        </w:rPr>
        <w:t xml:space="preserve"> making w</w:t>
      </w:r>
      <w:r>
        <w:rPr>
          <w:rFonts w:cs="Arial"/>
          <w:szCs w:val="24"/>
        </w:rPr>
        <w:t>ere the first to be disposed of</w:t>
      </w:r>
      <w:r w:rsidRPr="00486944">
        <w:rPr>
          <w:rFonts w:cs="Arial"/>
          <w:szCs w:val="24"/>
        </w:rPr>
        <w:t xml:space="preserve"> </w:t>
      </w:r>
      <w:proofErr w:type="spellStart"/>
      <w:r w:rsidRPr="00486944">
        <w:rPr>
          <w:rFonts w:cs="Arial"/>
          <w:szCs w:val="24"/>
        </w:rPr>
        <w:t>to</w:t>
      </w:r>
      <w:proofErr w:type="spellEnd"/>
      <w:r w:rsidRPr="00486944">
        <w:rPr>
          <w:rFonts w:cs="Arial"/>
          <w:szCs w:val="24"/>
        </w:rPr>
        <w:t xml:space="preserve"> different purchasers.</w:t>
      </w:r>
    </w:p>
    <w:p w14:paraId="16758750" w14:textId="77777777" w:rsidR="00486944" w:rsidRDefault="00486944" w:rsidP="00486944">
      <w:pPr>
        <w:ind w:left="630"/>
        <w:jc w:val="both"/>
        <w:rPr>
          <w:rFonts w:cs="Arial"/>
          <w:szCs w:val="24"/>
        </w:rPr>
      </w:pPr>
      <w:r w:rsidRPr="00486944">
        <w:rPr>
          <w:rFonts w:cs="Arial"/>
          <w:szCs w:val="24"/>
        </w:rPr>
        <w:t xml:space="preserve">Then the remaining and better performing eight (8) situated at </w:t>
      </w:r>
      <w:proofErr w:type="spellStart"/>
      <w:r w:rsidRPr="00486944">
        <w:rPr>
          <w:rFonts w:cs="Arial"/>
          <w:szCs w:val="24"/>
        </w:rPr>
        <w:t>Badplaas</w:t>
      </w:r>
      <w:proofErr w:type="spellEnd"/>
      <w:r w:rsidRPr="00486944">
        <w:rPr>
          <w:rFonts w:cs="Arial"/>
          <w:szCs w:val="24"/>
        </w:rPr>
        <w:t xml:space="preserve">, </w:t>
      </w:r>
      <w:proofErr w:type="spellStart"/>
      <w:r w:rsidRPr="00486944">
        <w:rPr>
          <w:rFonts w:cs="Arial"/>
          <w:szCs w:val="24"/>
        </w:rPr>
        <w:t>Blydepoort</w:t>
      </w:r>
      <w:proofErr w:type="spellEnd"/>
      <w:r w:rsidRPr="00486944">
        <w:rPr>
          <w:rFonts w:cs="Arial"/>
          <w:szCs w:val="24"/>
        </w:rPr>
        <w:t xml:space="preserve">, </w:t>
      </w:r>
      <w:proofErr w:type="spellStart"/>
      <w:r w:rsidRPr="00486944">
        <w:rPr>
          <w:rFonts w:cs="Arial"/>
          <w:szCs w:val="24"/>
        </w:rPr>
        <w:t>Loskopdam</w:t>
      </w:r>
      <w:proofErr w:type="spellEnd"/>
      <w:r w:rsidRPr="00486944">
        <w:rPr>
          <w:rFonts w:cs="Arial"/>
          <w:szCs w:val="24"/>
        </w:rPr>
        <w:t>,</w:t>
      </w:r>
      <w:r w:rsidR="00785758">
        <w:rPr>
          <w:rFonts w:cs="Arial"/>
          <w:szCs w:val="24"/>
        </w:rPr>
        <w:t xml:space="preserve"> </w:t>
      </w:r>
      <w:proofErr w:type="spellStart"/>
      <w:r w:rsidRPr="00486944">
        <w:rPr>
          <w:rFonts w:cs="Arial"/>
          <w:szCs w:val="24"/>
        </w:rPr>
        <w:t>Swadini</w:t>
      </w:r>
      <w:proofErr w:type="spellEnd"/>
      <w:r w:rsidR="00785758">
        <w:rPr>
          <w:rFonts w:cs="Arial"/>
          <w:szCs w:val="24"/>
        </w:rPr>
        <w:t xml:space="preserve"> </w:t>
      </w:r>
      <w:r w:rsidRPr="00486944">
        <w:rPr>
          <w:rFonts w:cs="Arial"/>
          <w:szCs w:val="24"/>
        </w:rPr>
        <w:t>(</w:t>
      </w:r>
      <w:r w:rsidR="00785758">
        <w:rPr>
          <w:rFonts w:cs="Arial"/>
          <w:szCs w:val="24"/>
        </w:rPr>
        <w:t xml:space="preserve">Mpumalanga) </w:t>
      </w:r>
      <w:proofErr w:type="spellStart"/>
      <w:r w:rsidR="00785758">
        <w:rPr>
          <w:rFonts w:cs="Arial"/>
          <w:szCs w:val="24"/>
        </w:rPr>
        <w:t>Tshipise</w:t>
      </w:r>
      <w:proofErr w:type="spellEnd"/>
      <w:r w:rsidR="00785758">
        <w:rPr>
          <w:rFonts w:cs="Arial"/>
          <w:szCs w:val="24"/>
        </w:rPr>
        <w:t xml:space="preserve">, </w:t>
      </w:r>
      <w:proofErr w:type="spellStart"/>
      <w:r w:rsidR="00785758">
        <w:rPr>
          <w:rFonts w:cs="Arial"/>
          <w:szCs w:val="24"/>
        </w:rPr>
        <w:t>Warmbath</w:t>
      </w:r>
      <w:proofErr w:type="spellEnd"/>
      <w:r w:rsidR="00785758">
        <w:rPr>
          <w:rFonts w:cs="Arial"/>
          <w:szCs w:val="24"/>
        </w:rPr>
        <w:t xml:space="preserve"> (</w:t>
      </w:r>
      <w:r w:rsidRPr="00486944">
        <w:rPr>
          <w:rFonts w:cs="Arial"/>
          <w:szCs w:val="24"/>
        </w:rPr>
        <w:t xml:space="preserve">Limpopo), Plettenburg </w:t>
      </w:r>
      <w:proofErr w:type="gramStart"/>
      <w:r w:rsidRPr="00486944">
        <w:rPr>
          <w:rFonts w:cs="Arial"/>
          <w:szCs w:val="24"/>
        </w:rPr>
        <w:t>Bay</w:t>
      </w:r>
      <w:r w:rsidR="00785758">
        <w:rPr>
          <w:rFonts w:cs="Arial"/>
          <w:szCs w:val="24"/>
        </w:rPr>
        <w:t xml:space="preserve">  (</w:t>
      </w:r>
      <w:proofErr w:type="gramEnd"/>
      <w:r w:rsidRPr="00486944">
        <w:rPr>
          <w:rFonts w:cs="Arial"/>
          <w:szCs w:val="24"/>
        </w:rPr>
        <w:t xml:space="preserve">Western Cape), </w:t>
      </w:r>
      <w:proofErr w:type="spellStart"/>
      <w:r w:rsidRPr="00486944">
        <w:rPr>
          <w:rFonts w:cs="Arial"/>
          <w:szCs w:val="24"/>
        </w:rPr>
        <w:t>Gariep</w:t>
      </w:r>
      <w:proofErr w:type="spellEnd"/>
      <w:r w:rsidR="00785758">
        <w:rPr>
          <w:rFonts w:cs="Arial"/>
          <w:szCs w:val="24"/>
        </w:rPr>
        <w:t xml:space="preserve"> (</w:t>
      </w:r>
      <w:r w:rsidRPr="00486944">
        <w:rPr>
          <w:rFonts w:cs="Arial"/>
          <w:szCs w:val="24"/>
        </w:rPr>
        <w:t xml:space="preserve">Free State) were sold to a single purchaser named Forever </w:t>
      </w:r>
      <w:proofErr w:type="spellStart"/>
      <w:r w:rsidRPr="00486944">
        <w:rPr>
          <w:rFonts w:cs="Arial"/>
          <w:szCs w:val="24"/>
        </w:rPr>
        <w:t>Siyonwaba</w:t>
      </w:r>
      <w:proofErr w:type="spellEnd"/>
      <w:r w:rsidRPr="00486944">
        <w:rPr>
          <w:rFonts w:cs="Arial"/>
          <w:szCs w:val="24"/>
        </w:rPr>
        <w:t xml:space="preserve"> Consortium</w:t>
      </w:r>
      <w:r>
        <w:rPr>
          <w:rFonts w:cs="Arial"/>
          <w:szCs w:val="24"/>
        </w:rPr>
        <w:t>.</w:t>
      </w:r>
    </w:p>
    <w:p w14:paraId="35D4BE29" w14:textId="77777777" w:rsidR="00785758" w:rsidRDefault="00785758" w:rsidP="00486944">
      <w:pPr>
        <w:ind w:left="630"/>
        <w:jc w:val="both"/>
        <w:rPr>
          <w:rFonts w:cs="Arial"/>
          <w:szCs w:val="24"/>
        </w:rPr>
      </w:pPr>
    </w:p>
    <w:p w14:paraId="3D900A47" w14:textId="77777777" w:rsidR="00785758" w:rsidRPr="00486944" w:rsidRDefault="00785758" w:rsidP="00486944">
      <w:pPr>
        <w:ind w:left="630"/>
        <w:jc w:val="both"/>
        <w:rPr>
          <w:rFonts w:cs="Arial"/>
          <w:szCs w:val="24"/>
        </w:rPr>
      </w:pPr>
    </w:p>
    <w:p w14:paraId="59E72866" w14:textId="77777777" w:rsidR="00486944" w:rsidRPr="00785758" w:rsidRDefault="00486944" w:rsidP="00785758">
      <w:pPr>
        <w:pStyle w:val="ListParagraph"/>
        <w:numPr>
          <w:ilvl w:val="0"/>
          <w:numId w:val="2"/>
        </w:numPr>
        <w:jc w:val="both"/>
        <w:rPr>
          <w:rFonts w:cs="Arial"/>
          <w:szCs w:val="24"/>
        </w:rPr>
      </w:pPr>
      <w:r w:rsidRPr="00785758">
        <w:rPr>
          <w:rFonts w:cs="Arial"/>
          <w:szCs w:val="24"/>
        </w:rPr>
        <w:t xml:space="preserve">Government </w:t>
      </w:r>
      <w:proofErr w:type="gramStart"/>
      <w:r w:rsidRPr="00785758">
        <w:rPr>
          <w:rFonts w:cs="Arial"/>
          <w:szCs w:val="24"/>
        </w:rPr>
        <w:t>had in 2001 as part of its restructuring policy taken</w:t>
      </w:r>
      <w:proofErr w:type="gramEnd"/>
      <w:r w:rsidRPr="00785758">
        <w:rPr>
          <w:rFonts w:cs="Arial"/>
          <w:szCs w:val="24"/>
        </w:rPr>
        <w:t xml:space="preserve"> a decision to dispose all the Aventura resorts.  Hotel and leisure </w:t>
      </w:r>
      <w:proofErr w:type="gramStart"/>
      <w:r w:rsidRPr="00785758">
        <w:rPr>
          <w:rFonts w:cs="Arial"/>
          <w:szCs w:val="24"/>
        </w:rPr>
        <w:t>was regarded</w:t>
      </w:r>
      <w:proofErr w:type="gramEnd"/>
      <w:r w:rsidRPr="00785758">
        <w:rPr>
          <w:rFonts w:cs="Arial"/>
          <w:szCs w:val="24"/>
        </w:rPr>
        <w:t xml:space="preserve"> as non- core to Government.</w:t>
      </w:r>
      <w:r w:rsidR="00785758" w:rsidRPr="00785758">
        <w:rPr>
          <w:rFonts w:cs="Arial"/>
          <w:szCs w:val="24"/>
        </w:rPr>
        <w:t xml:space="preserve"> </w:t>
      </w:r>
      <w:r w:rsidRPr="00785758">
        <w:rPr>
          <w:rFonts w:cs="Arial"/>
          <w:szCs w:val="24"/>
        </w:rPr>
        <w:t xml:space="preserve">The decision to dispose was further underpinned by the fact that some of the resorts were seriously loss making. Aventura was disposed through a normal purchase and sale process </w:t>
      </w:r>
      <w:proofErr w:type="gramStart"/>
      <w:r w:rsidRPr="00785758">
        <w:rPr>
          <w:rFonts w:cs="Arial"/>
          <w:szCs w:val="24"/>
        </w:rPr>
        <w:t>however</w:t>
      </w:r>
      <w:proofErr w:type="gramEnd"/>
      <w:r w:rsidRPr="00785758">
        <w:rPr>
          <w:rFonts w:cs="Arial"/>
          <w:szCs w:val="24"/>
        </w:rPr>
        <w:t xml:space="preserve"> difficulties were encountered in concluding the process all together. The process </w:t>
      </w:r>
      <w:proofErr w:type="gramStart"/>
      <w:r w:rsidRPr="00785758">
        <w:rPr>
          <w:rFonts w:cs="Arial"/>
          <w:szCs w:val="24"/>
        </w:rPr>
        <w:t>was beset</w:t>
      </w:r>
      <w:proofErr w:type="gramEnd"/>
      <w:r w:rsidRPr="00785758">
        <w:rPr>
          <w:rFonts w:cs="Arial"/>
          <w:szCs w:val="24"/>
        </w:rPr>
        <w:t xml:space="preserve"> by lan</w:t>
      </w:r>
      <w:r w:rsidR="00785758">
        <w:rPr>
          <w:rFonts w:cs="Arial"/>
          <w:szCs w:val="24"/>
        </w:rPr>
        <w:t>d claims in some of the areas (</w:t>
      </w:r>
      <w:proofErr w:type="spellStart"/>
      <w:r w:rsidRPr="00785758">
        <w:rPr>
          <w:rFonts w:cs="Arial"/>
          <w:szCs w:val="24"/>
        </w:rPr>
        <w:t>e.g</w:t>
      </w:r>
      <w:proofErr w:type="spellEnd"/>
      <w:r w:rsidRPr="00785758">
        <w:rPr>
          <w:rFonts w:cs="Arial"/>
          <w:szCs w:val="24"/>
        </w:rPr>
        <w:t xml:space="preserve"> </w:t>
      </w:r>
      <w:proofErr w:type="spellStart"/>
      <w:r w:rsidRPr="00785758">
        <w:rPr>
          <w:rFonts w:cs="Arial"/>
          <w:szCs w:val="24"/>
        </w:rPr>
        <w:t>Blydepoort</w:t>
      </w:r>
      <w:proofErr w:type="spellEnd"/>
      <w:r w:rsidRPr="00785758">
        <w:rPr>
          <w:rFonts w:cs="Arial"/>
          <w:szCs w:val="24"/>
        </w:rPr>
        <w:t xml:space="preserve">, </w:t>
      </w:r>
      <w:proofErr w:type="spellStart"/>
      <w:r w:rsidRPr="00785758">
        <w:rPr>
          <w:rFonts w:cs="Arial"/>
          <w:szCs w:val="24"/>
        </w:rPr>
        <w:t>Swadini</w:t>
      </w:r>
      <w:proofErr w:type="spellEnd"/>
      <w:r w:rsidRPr="00785758">
        <w:rPr>
          <w:rFonts w:cs="Arial"/>
          <w:szCs w:val="24"/>
        </w:rPr>
        <w:t xml:space="preserve"> and </w:t>
      </w:r>
      <w:proofErr w:type="spellStart"/>
      <w:r w:rsidRPr="00785758">
        <w:rPr>
          <w:rFonts w:cs="Arial"/>
          <w:szCs w:val="24"/>
        </w:rPr>
        <w:t>Tshipise</w:t>
      </w:r>
      <w:proofErr w:type="spellEnd"/>
      <w:r w:rsidRPr="00785758">
        <w:rPr>
          <w:rFonts w:cs="Arial"/>
          <w:szCs w:val="24"/>
        </w:rPr>
        <w:t>) w</w:t>
      </w:r>
      <w:r w:rsidR="00785758">
        <w:rPr>
          <w:rFonts w:cs="Arial"/>
          <w:szCs w:val="24"/>
        </w:rPr>
        <w:t>h</w:t>
      </w:r>
      <w:r w:rsidRPr="00785758">
        <w:rPr>
          <w:rFonts w:cs="Arial"/>
          <w:szCs w:val="24"/>
        </w:rPr>
        <w:t xml:space="preserve">ere the resorts were situated, incorrect description of the Aventura properties, </w:t>
      </w:r>
      <w:proofErr w:type="spellStart"/>
      <w:r w:rsidRPr="00785758">
        <w:rPr>
          <w:rFonts w:cs="Arial"/>
          <w:szCs w:val="24"/>
        </w:rPr>
        <w:t>e.g</w:t>
      </w:r>
      <w:proofErr w:type="spellEnd"/>
      <w:r w:rsidRPr="00785758">
        <w:rPr>
          <w:rFonts w:cs="Arial"/>
          <w:szCs w:val="24"/>
        </w:rPr>
        <w:t xml:space="preserve"> there were discrepancies in Aventura property description set out in the Deeds office and the inventory/schedule of those properties laid out in the </w:t>
      </w:r>
      <w:proofErr w:type="spellStart"/>
      <w:r w:rsidRPr="00785758">
        <w:rPr>
          <w:rFonts w:cs="Arial"/>
          <w:szCs w:val="24"/>
        </w:rPr>
        <w:lastRenderedPageBreak/>
        <w:t>Overvaal</w:t>
      </w:r>
      <w:proofErr w:type="spellEnd"/>
      <w:r w:rsidRPr="00785758">
        <w:rPr>
          <w:rFonts w:cs="Arial"/>
          <w:szCs w:val="24"/>
        </w:rPr>
        <w:t xml:space="preserve"> Resorts Limited Act 127 of 1993. These difficulties caused the disposal of Aventura to be protracted. Thus, against the background that the Aventura resorts were already sold even though difficulties in transferring some of them were encountered, in </w:t>
      </w:r>
      <w:proofErr w:type="gramStart"/>
      <w:r w:rsidRPr="00785758">
        <w:rPr>
          <w:rFonts w:cs="Arial"/>
          <w:szCs w:val="24"/>
        </w:rPr>
        <w:t>2013</w:t>
      </w:r>
      <w:proofErr w:type="gramEnd"/>
      <w:r w:rsidRPr="00785758">
        <w:rPr>
          <w:rFonts w:cs="Arial"/>
          <w:szCs w:val="24"/>
        </w:rPr>
        <w:t xml:space="preserve"> an optimal route to bring closure to the purchase and sale process was considered and liquidation was found to be appropriate.  The Shareholder (Minister of Public Enterprises) then passed a resolution to liquidate Aventura.</w:t>
      </w:r>
    </w:p>
    <w:p w14:paraId="1405AC65" w14:textId="77777777" w:rsidR="00785758" w:rsidRDefault="00785758" w:rsidP="00785758">
      <w:pPr>
        <w:pStyle w:val="ListParagraph"/>
        <w:jc w:val="both"/>
        <w:rPr>
          <w:rFonts w:cs="Arial"/>
          <w:szCs w:val="24"/>
        </w:rPr>
      </w:pPr>
    </w:p>
    <w:p w14:paraId="38B36247" w14:textId="77777777" w:rsidR="00785758" w:rsidRPr="00785758" w:rsidRDefault="00785758" w:rsidP="00785758">
      <w:pPr>
        <w:pStyle w:val="ListParagraph"/>
        <w:jc w:val="both"/>
        <w:rPr>
          <w:rFonts w:cs="Arial"/>
          <w:szCs w:val="24"/>
        </w:rPr>
      </w:pPr>
    </w:p>
    <w:p w14:paraId="54CE117D" w14:textId="77777777" w:rsidR="00486944" w:rsidRPr="00486944" w:rsidRDefault="00486944" w:rsidP="00486944">
      <w:pPr>
        <w:jc w:val="both"/>
        <w:rPr>
          <w:rFonts w:cs="Arial"/>
          <w:szCs w:val="24"/>
        </w:rPr>
      </w:pPr>
      <w:r>
        <w:rPr>
          <w:rFonts w:cs="Arial"/>
          <w:szCs w:val="24"/>
        </w:rPr>
        <w:t>(</w:t>
      </w:r>
      <w:r w:rsidRPr="00486944">
        <w:rPr>
          <w:rFonts w:cs="Arial"/>
          <w:szCs w:val="24"/>
        </w:rPr>
        <w:t>c)</w:t>
      </w:r>
      <w:r>
        <w:rPr>
          <w:rFonts w:cs="Arial"/>
          <w:szCs w:val="24"/>
        </w:rPr>
        <w:tab/>
      </w:r>
      <w:r w:rsidRPr="00486944">
        <w:rPr>
          <w:rFonts w:cs="Arial"/>
          <w:szCs w:val="24"/>
        </w:rPr>
        <w:t>(</w:t>
      </w:r>
      <w:proofErr w:type="spellStart"/>
      <w:proofErr w:type="gramStart"/>
      <w:r w:rsidRPr="00486944">
        <w:rPr>
          <w:rFonts w:cs="Arial"/>
          <w:szCs w:val="24"/>
        </w:rPr>
        <w:t>i</w:t>
      </w:r>
      <w:proofErr w:type="spellEnd"/>
      <w:proofErr w:type="gramEnd"/>
      <w:r w:rsidRPr="00486944">
        <w:rPr>
          <w:rFonts w:cs="Arial"/>
          <w:szCs w:val="24"/>
        </w:rPr>
        <w:t xml:space="preserve">) </w:t>
      </w:r>
      <w:r>
        <w:rPr>
          <w:rFonts w:cs="Arial"/>
          <w:szCs w:val="24"/>
        </w:rPr>
        <w:t xml:space="preserve"> </w:t>
      </w:r>
      <w:r w:rsidR="00785758">
        <w:rPr>
          <w:rFonts w:cs="Arial"/>
          <w:szCs w:val="24"/>
        </w:rPr>
        <w:t xml:space="preserve"> </w:t>
      </w:r>
      <w:r w:rsidRPr="00486944">
        <w:rPr>
          <w:rFonts w:cs="Arial"/>
          <w:szCs w:val="24"/>
        </w:rPr>
        <w:t xml:space="preserve">the eight(8) resorts were sold to a company called Forever </w:t>
      </w:r>
      <w:proofErr w:type="spellStart"/>
      <w:r w:rsidRPr="00486944">
        <w:rPr>
          <w:rFonts w:cs="Arial"/>
          <w:szCs w:val="24"/>
        </w:rPr>
        <w:t>Siyonwaba</w:t>
      </w:r>
      <w:proofErr w:type="spellEnd"/>
      <w:r w:rsidRPr="00486944">
        <w:rPr>
          <w:rFonts w:cs="Arial"/>
          <w:szCs w:val="24"/>
        </w:rPr>
        <w:t xml:space="preserve"> Consortium</w:t>
      </w:r>
    </w:p>
    <w:p w14:paraId="0081BE22" w14:textId="77777777" w:rsidR="00486944" w:rsidRPr="00486944" w:rsidRDefault="00486944" w:rsidP="00486944">
      <w:pPr>
        <w:ind w:left="90" w:firstLine="630"/>
        <w:jc w:val="both"/>
        <w:rPr>
          <w:szCs w:val="24"/>
        </w:rPr>
      </w:pPr>
      <w:r>
        <w:rPr>
          <w:sz w:val="28"/>
          <w:szCs w:val="28"/>
        </w:rPr>
        <w:t>(</w:t>
      </w:r>
      <w:r w:rsidRPr="00486944">
        <w:rPr>
          <w:szCs w:val="24"/>
        </w:rPr>
        <w:t xml:space="preserve">ii)  </w:t>
      </w:r>
      <w:proofErr w:type="gramStart"/>
      <w:r w:rsidRPr="00486944">
        <w:rPr>
          <w:szCs w:val="24"/>
        </w:rPr>
        <w:t>the</w:t>
      </w:r>
      <w:proofErr w:type="gramEnd"/>
      <w:r w:rsidRPr="00486944">
        <w:rPr>
          <w:szCs w:val="24"/>
        </w:rPr>
        <w:t xml:space="preserve"> Purchase Price for the eight was R200m.</w:t>
      </w:r>
    </w:p>
    <w:p w14:paraId="0C67CA0A" w14:textId="77777777" w:rsidR="00C53D0D" w:rsidRPr="00EB2863" w:rsidRDefault="00C53D0D" w:rsidP="00486944">
      <w:pPr>
        <w:pStyle w:val="NormalWeb"/>
        <w:spacing w:after="0" w:line="360" w:lineRule="auto"/>
        <w:jc w:val="both"/>
        <w:rPr>
          <w:rFonts w:ascii="Arial" w:hAnsi="Arial" w:cs="Arial"/>
          <w:bCs/>
        </w:rPr>
      </w:pPr>
      <w:r w:rsidRPr="004D116D">
        <w:rPr>
          <w:rFonts w:ascii="Arial" w:hAnsi="Arial" w:cs="Arial"/>
          <w:bCs/>
        </w:rPr>
        <w:t xml:space="preserve">  </w:t>
      </w:r>
    </w:p>
    <w:p w14:paraId="04BE9124" w14:textId="77777777" w:rsidR="00C53D0D" w:rsidRDefault="00C53D0D" w:rsidP="00C53D0D"/>
    <w:tbl>
      <w:tblPr>
        <w:tblStyle w:val="TableGrid"/>
        <w:tblpPr w:leftFromText="180" w:rightFromText="180" w:vertAnchor="text" w:horzAnchor="page" w:tblpX="2557" w:tblpY="4152"/>
        <w:tblW w:w="9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547"/>
        <w:gridCol w:w="547"/>
        <w:gridCol w:w="1292"/>
        <w:gridCol w:w="3692"/>
      </w:tblGrid>
      <w:tr w:rsidR="00E036AD" w:rsidRPr="004D116D" w14:paraId="289B491D" w14:textId="77777777" w:rsidTr="00E036AD">
        <w:trPr>
          <w:trHeight w:val="871"/>
        </w:trPr>
        <w:tc>
          <w:tcPr>
            <w:tcW w:w="3284" w:type="dxa"/>
          </w:tcPr>
          <w:p w14:paraId="1DD2D734" w14:textId="77777777" w:rsidR="00E036AD" w:rsidRPr="004D116D" w:rsidRDefault="00E036AD" w:rsidP="00E036AD">
            <w:pPr>
              <w:rPr>
                <w:rFonts w:cs="Arial"/>
                <w:b/>
                <w:snapToGrid w:val="0"/>
                <w:szCs w:val="24"/>
              </w:rPr>
            </w:pPr>
          </w:p>
        </w:tc>
        <w:tc>
          <w:tcPr>
            <w:tcW w:w="547" w:type="dxa"/>
          </w:tcPr>
          <w:p w14:paraId="3C969BCD" w14:textId="77777777" w:rsidR="00E036AD" w:rsidRPr="004D116D" w:rsidRDefault="00E036AD" w:rsidP="00E036AD">
            <w:pPr>
              <w:rPr>
                <w:rFonts w:cs="Arial"/>
                <w:b/>
                <w:snapToGrid w:val="0"/>
                <w:szCs w:val="24"/>
              </w:rPr>
            </w:pPr>
          </w:p>
        </w:tc>
        <w:tc>
          <w:tcPr>
            <w:tcW w:w="547" w:type="dxa"/>
          </w:tcPr>
          <w:p w14:paraId="78E3E89D" w14:textId="77777777" w:rsidR="00E036AD" w:rsidRPr="004D116D" w:rsidRDefault="00E036AD" w:rsidP="00E036AD">
            <w:pPr>
              <w:rPr>
                <w:rFonts w:cs="Arial"/>
                <w:b/>
                <w:snapToGrid w:val="0"/>
                <w:szCs w:val="24"/>
              </w:rPr>
            </w:pPr>
          </w:p>
        </w:tc>
        <w:tc>
          <w:tcPr>
            <w:tcW w:w="4984" w:type="dxa"/>
            <w:gridSpan w:val="2"/>
          </w:tcPr>
          <w:p w14:paraId="5A5FCF29" w14:textId="77777777" w:rsidR="00E036AD" w:rsidRPr="004D116D" w:rsidRDefault="00E036AD" w:rsidP="00E036AD">
            <w:pPr>
              <w:rPr>
                <w:rFonts w:cs="Arial"/>
                <w:b/>
                <w:snapToGrid w:val="0"/>
                <w:szCs w:val="24"/>
              </w:rPr>
            </w:pPr>
          </w:p>
        </w:tc>
      </w:tr>
      <w:tr w:rsidR="00E036AD" w:rsidRPr="004D116D" w14:paraId="6359D3CB" w14:textId="77777777" w:rsidTr="00E036AD">
        <w:trPr>
          <w:trHeight w:val="519"/>
        </w:trPr>
        <w:tc>
          <w:tcPr>
            <w:tcW w:w="3284" w:type="dxa"/>
            <w:tcBorders>
              <w:bottom w:val="single" w:sz="4" w:space="0" w:color="auto"/>
            </w:tcBorders>
          </w:tcPr>
          <w:p w14:paraId="6850A29E" w14:textId="77777777" w:rsidR="00E036AD" w:rsidRPr="004D116D" w:rsidRDefault="00E036AD" w:rsidP="00E036AD">
            <w:pPr>
              <w:rPr>
                <w:rFonts w:cs="Arial"/>
                <w:b/>
                <w:snapToGrid w:val="0"/>
                <w:szCs w:val="24"/>
              </w:rPr>
            </w:pPr>
          </w:p>
        </w:tc>
        <w:tc>
          <w:tcPr>
            <w:tcW w:w="547" w:type="dxa"/>
          </w:tcPr>
          <w:p w14:paraId="787B735E" w14:textId="77777777" w:rsidR="00E036AD" w:rsidRPr="004D116D" w:rsidRDefault="00E036AD" w:rsidP="00E036AD">
            <w:pPr>
              <w:rPr>
                <w:rFonts w:cs="Arial"/>
                <w:b/>
                <w:snapToGrid w:val="0"/>
                <w:szCs w:val="24"/>
              </w:rPr>
            </w:pPr>
          </w:p>
        </w:tc>
        <w:tc>
          <w:tcPr>
            <w:tcW w:w="547" w:type="dxa"/>
          </w:tcPr>
          <w:p w14:paraId="3305D389" w14:textId="77777777" w:rsidR="00E036AD" w:rsidRPr="004D116D" w:rsidRDefault="00E036AD" w:rsidP="00E036AD">
            <w:pPr>
              <w:rPr>
                <w:rFonts w:cs="Arial"/>
                <w:b/>
                <w:snapToGrid w:val="0"/>
                <w:szCs w:val="24"/>
              </w:rPr>
            </w:pPr>
          </w:p>
        </w:tc>
        <w:tc>
          <w:tcPr>
            <w:tcW w:w="1292" w:type="dxa"/>
          </w:tcPr>
          <w:p w14:paraId="01910850" w14:textId="77777777" w:rsidR="00E036AD" w:rsidRPr="004D116D" w:rsidRDefault="00E036AD" w:rsidP="00E036AD">
            <w:pPr>
              <w:rPr>
                <w:rFonts w:cs="Arial"/>
                <w:b/>
                <w:snapToGrid w:val="0"/>
                <w:szCs w:val="24"/>
              </w:rPr>
            </w:pPr>
          </w:p>
        </w:tc>
        <w:tc>
          <w:tcPr>
            <w:tcW w:w="3692" w:type="dxa"/>
            <w:tcBorders>
              <w:bottom w:val="single" w:sz="4" w:space="0" w:color="auto"/>
            </w:tcBorders>
          </w:tcPr>
          <w:p w14:paraId="33F89ADD" w14:textId="77777777" w:rsidR="00E036AD" w:rsidRPr="004D116D" w:rsidRDefault="00E036AD" w:rsidP="00E036AD">
            <w:pPr>
              <w:rPr>
                <w:rFonts w:cs="Arial"/>
                <w:b/>
                <w:snapToGrid w:val="0"/>
                <w:szCs w:val="24"/>
              </w:rPr>
            </w:pPr>
          </w:p>
        </w:tc>
      </w:tr>
      <w:tr w:rsidR="00E036AD" w:rsidRPr="004D116D" w14:paraId="304DE9CC" w14:textId="77777777" w:rsidTr="00E036AD">
        <w:trPr>
          <w:trHeight w:val="519"/>
        </w:trPr>
        <w:tc>
          <w:tcPr>
            <w:tcW w:w="3284" w:type="dxa"/>
            <w:tcBorders>
              <w:bottom w:val="single" w:sz="4" w:space="0" w:color="auto"/>
            </w:tcBorders>
          </w:tcPr>
          <w:p w14:paraId="081F1157" w14:textId="77777777" w:rsidR="00E036AD" w:rsidRPr="004D116D" w:rsidRDefault="00E036AD" w:rsidP="00E036AD">
            <w:pPr>
              <w:rPr>
                <w:rFonts w:cs="Arial"/>
                <w:b/>
                <w:snapToGrid w:val="0"/>
                <w:szCs w:val="24"/>
              </w:rPr>
            </w:pPr>
          </w:p>
        </w:tc>
        <w:tc>
          <w:tcPr>
            <w:tcW w:w="547" w:type="dxa"/>
          </w:tcPr>
          <w:p w14:paraId="2AE8F8B2" w14:textId="77777777" w:rsidR="00E036AD" w:rsidRPr="004D116D" w:rsidRDefault="00E036AD" w:rsidP="00E036AD">
            <w:pPr>
              <w:rPr>
                <w:rFonts w:cs="Arial"/>
                <w:b/>
                <w:snapToGrid w:val="0"/>
                <w:szCs w:val="24"/>
              </w:rPr>
            </w:pPr>
          </w:p>
        </w:tc>
        <w:tc>
          <w:tcPr>
            <w:tcW w:w="547" w:type="dxa"/>
          </w:tcPr>
          <w:p w14:paraId="46998015" w14:textId="77777777" w:rsidR="00E036AD" w:rsidRPr="004D116D" w:rsidRDefault="00E036AD" w:rsidP="00E036AD">
            <w:pPr>
              <w:rPr>
                <w:rFonts w:cs="Arial"/>
                <w:b/>
                <w:snapToGrid w:val="0"/>
                <w:szCs w:val="24"/>
              </w:rPr>
            </w:pPr>
          </w:p>
        </w:tc>
        <w:tc>
          <w:tcPr>
            <w:tcW w:w="1292" w:type="dxa"/>
          </w:tcPr>
          <w:p w14:paraId="09D3810C" w14:textId="77777777" w:rsidR="00E036AD" w:rsidRPr="004D116D" w:rsidRDefault="00E036AD" w:rsidP="00E036AD">
            <w:pPr>
              <w:rPr>
                <w:rFonts w:cs="Arial"/>
                <w:b/>
                <w:snapToGrid w:val="0"/>
                <w:szCs w:val="24"/>
              </w:rPr>
            </w:pPr>
          </w:p>
        </w:tc>
        <w:tc>
          <w:tcPr>
            <w:tcW w:w="3692" w:type="dxa"/>
            <w:tcBorders>
              <w:bottom w:val="single" w:sz="4" w:space="0" w:color="auto"/>
            </w:tcBorders>
          </w:tcPr>
          <w:p w14:paraId="120A4D8E" w14:textId="77777777" w:rsidR="00E036AD" w:rsidRPr="004D116D" w:rsidRDefault="00E036AD" w:rsidP="00E036AD">
            <w:pPr>
              <w:rPr>
                <w:rFonts w:cs="Arial"/>
                <w:b/>
                <w:snapToGrid w:val="0"/>
                <w:szCs w:val="24"/>
              </w:rPr>
            </w:pPr>
          </w:p>
        </w:tc>
      </w:tr>
      <w:tr w:rsidR="00E036AD" w:rsidRPr="004D116D" w14:paraId="08E8D9A3" w14:textId="77777777" w:rsidTr="00E036AD">
        <w:trPr>
          <w:trHeight w:val="382"/>
        </w:trPr>
        <w:tc>
          <w:tcPr>
            <w:tcW w:w="3831" w:type="dxa"/>
            <w:gridSpan w:val="2"/>
            <w:vMerge w:val="restart"/>
            <w:tcBorders>
              <w:top w:val="single" w:sz="4" w:space="0" w:color="auto"/>
            </w:tcBorders>
          </w:tcPr>
          <w:p w14:paraId="380F0D34" w14:textId="77777777" w:rsidR="00E036AD" w:rsidRPr="004D116D" w:rsidRDefault="00E036AD" w:rsidP="00E036AD">
            <w:pPr>
              <w:spacing w:line="360" w:lineRule="auto"/>
              <w:rPr>
                <w:rFonts w:cs="Arial"/>
                <w:b/>
                <w:snapToGrid w:val="0"/>
                <w:szCs w:val="24"/>
              </w:rPr>
            </w:pPr>
          </w:p>
        </w:tc>
        <w:tc>
          <w:tcPr>
            <w:tcW w:w="547" w:type="dxa"/>
          </w:tcPr>
          <w:p w14:paraId="347A526B" w14:textId="77777777" w:rsidR="00E036AD" w:rsidRPr="004D116D" w:rsidRDefault="00E036AD" w:rsidP="00E036AD">
            <w:pPr>
              <w:spacing w:line="360" w:lineRule="auto"/>
              <w:rPr>
                <w:rFonts w:cs="Arial"/>
                <w:b/>
                <w:snapToGrid w:val="0"/>
                <w:szCs w:val="24"/>
              </w:rPr>
            </w:pPr>
          </w:p>
        </w:tc>
        <w:tc>
          <w:tcPr>
            <w:tcW w:w="1292" w:type="dxa"/>
          </w:tcPr>
          <w:p w14:paraId="53B89422" w14:textId="77777777" w:rsidR="00E036AD" w:rsidRPr="004D116D" w:rsidRDefault="00E036AD" w:rsidP="00E036AD">
            <w:pPr>
              <w:spacing w:line="360" w:lineRule="auto"/>
              <w:rPr>
                <w:rFonts w:cs="Arial"/>
                <w:b/>
                <w:snapToGrid w:val="0"/>
                <w:szCs w:val="24"/>
              </w:rPr>
            </w:pPr>
          </w:p>
        </w:tc>
        <w:tc>
          <w:tcPr>
            <w:tcW w:w="3692" w:type="dxa"/>
            <w:vMerge w:val="restart"/>
            <w:tcBorders>
              <w:top w:val="single" w:sz="4" w:space="0" w:color="auto"/>
            </w:tcBorders>
          </w:tcPr>
          <w:p w14:paraId="6B17BE35" w14:textId="77777777" w:rsidR="00E036AD" w:rsidRPr="004D116D" w:rsidRDefault="00E036AD" w:rsidP="00E036AD">
            <w:pPr>
              <w:spacing w:line="360" w:lineRule="auto"/>
              <w:rPr>
                <w:rFonts w:cs="Arial"/>
                <w:b/>
                <w:snapToGrid w:val="0"/>
                <w:szCs w:val="24"/>
              </w:rPr>
            </w:pPr>
          </w:p>
        </w:tc>
      </w:tr>
      <w:tr w:rsidR="00E036AD" w:rsidRPr="004D116D" w14:paraId="10EDCAEE" w14:textId="77777777" w:rsidTr="00E036AD">
        <w:trPr>
          <w:trHeight w:val="382"/>
        </w:trPr>
        <w:tc>
          <w:tcPr>
            <w:tcW w:w="3831" w:type="dxa"/>
            <w:gridSpan w:val="2"/>
            <w:vMerge/>
          </w:tcPr>
          <w:p w14:paraId="67F208B8" w14:textId="77777777" w:rsidR="00E036AD" w:rsidRPr="004D116D" w:rsidRDefault="00E036AD" w:rsidP="00E036AD">
            <w:pPr>
              <w:spacing w:line="360" w:lineRule="auto"/>
              <w:rPr>
                <w:rFonts w:cs="Arial"/>
                <w:b/>
                <w:snapToGrid w:val="0"/>
                <w:szCs w:val="24"/>
              </w:rPr>
            </w:pPr>
          </w:p>
        </w:tc>
        <w:tc>
          <w:tcPr>
            <w:tcW w:w="547" w:type="dxa"/>
          </w:tcPr>
          <w:p w14:paraId="4B457820" w14:textId="77777777" w:rsidR="00E036AD" w:rsidRPr="004D116D" w:rsidRDefault="00E036AD" w:rsidP="00E036AD">
            <w:pPr>
              <w:spacing w:line="360" w:lineRule="auto"/>
              <w:rPr>
                <w:rFonts w:cs="Arial"/>
                <w:b/>
                <w:snapToGrid w:val="0"/>
                <w:szCs w:val="24"/>
              </w:rPr>
            </w:pPr>
          </w:p>
        </w:tc>
        <w:tc>
          <w:tcPr>
            <w:tcW w:w="1292" w:type="dxa"/>
          </w:tcPr>
          <w:p w14:paraId="431E3213" w14:textId="77777777" w:rsidR="00E036AD" w:rsidRPr="004D116D" w:rsidRDefault="00E036AD" w:rsidP="00E036AD">
            <w:pPr>
              <w:spacing w:line="360" w:lineRule="auto"/>
              <w:ind w:firstLine="582"/>
              <w:rPr>
                <w:rFonts w:cs="Arial"/>
                <w:b/>
                <w:snapToGrid w:val="0"/>
                <w:szCs w:val="24"/>
              </w:rPr>
            </w:pPr>
          </w:p>
        </w:tc>
        <w:tc>
          <w:tcPr>
            <w:tcW w:w="3692" w:type="dxa"/>
            <w:vMerge/>
          </w:tcPr>
          <w:p w14:paraId="7873E38F" w14:textId="77777777" w:rsidR="00E036AD" w:rsidRPr="004D116D" w:rsidRDefault="00E036AD" w:rsidP="00E036AD">
            <w:pPr>
              <w:spacing w:line="360" w:lineRule="auto"/>
              <w:ind w:firstLine="582"/>
              <w:rPr>
                <w:rFonts w:cs="Arial"/>
                <w:b/>
                <w:snapToGrid w:val="0"/>
                <w:szCs w:val="24"/>
              </w:rPr>
            </w:pPr>
          </w:p>
        </w:tc>
      </w:tr>
      <w:tr w:rsidR="00E036AD" w:rsidRPr="004D116D" w14:paraId="70351C39" w14:textId="77777777" w:rsidTr="00E036AD">
        <w:trPr>
          <w:trHeight w:val="382"/>
        </w:trPr>
        <w:tc>
          <w:tcPr>
            <w:tcW w:w="3284" w:type="dxa"/>
          </w:tcPr>
          <w:p w14:paraId="0D8EC82F" w14:textId="77777777" w:rsidR="00E036AD" w:rsidRPr="004D116D" w:rsidRDefault="00E036AD" w:rsidP="00E036AD">
            <w:pPr>
              <w:spacing w:line="360" w:lineRule="auto"/>
              <w:rPr>
                <w:rFonts w:cs="Arial"/>
                <w:b/>
                <w:snapToGrid w:val="0"/>
                <w:szCs w:val="24"/>
              </w:rPr>
            </w:pPr>
          </w:p>
        </w:tc>
        <w:tc>
          <w:tcPr>
            <w:tcW w:w="547" w:type="dxa"/>
          </w:tcPr>
          <w:p w14:paraId="39A25DA2" w14:textId="77777777" w:rsidR="00E036AD" w:rsidRPr="004D116D" w:rsidRDefault="00E036AD" w:rsidP="00E036AD">
            <w:pPr>
              <w:spacing w:line="360" w:lineRule="auto"/>
              <w:rPr>
                <w:rFonts w:cs="Arial"/>
                <w:b/>
                <w:snapToGrid w:val="0"/>
                <w:szCs w:val="24"/>
              </w:rPr>
            </w:pPr>
          </w:p>
        </w:tc>
        <w:tc>
          <w:tcPr>
            <w:tcW w:w="547" w:type="dxa"/>
          </w:tcPr>
          <w:p w14:paraId="24EEF049" w14:textId="77777777" w:rsidR="00E036AD" w:rsidRPr="004D116D" w:rsidRDefault="00E036AD" w:rsidP="00E036AD">
            <w:pPr>
              <w:spacing w:line="360" w:lineRule="auto"/>
              <w:rPr>
                <w:rFonts w:cs="Arial"/>
                <w:b/>
                <w:snapToGrid w:val="0"/>
                <w:szCs w:val="24"/>
              </w:rPr>
            </w:pPr>
          </w:p>
        </w:tc>
        <w:tc>
          <w:tcPr>
            <w:tcW w:w="4984" w:type="dxa"/>
            <w:gridSpan w:val="2"/>
          </w:tcPr>
          <w:p w14:paraId="7D84F197" w14:textId="77777777" w:rsidR="00E036AD" w:rsidRPr="004D116D" w:rsidRDefault="00E036AD" w:rsidP="00E036AD">
            <w:pPr>
              <w:spacing w:line="360" w:lineRule="auto"/>
              <w:ind w:firstLine="582"/>
              <w:rPr>
                <w:rFonts w:cs="Arial"/>
                <w:b/>
                <w:snapToGrid w:val="0"/>
                <w:szCs w:val="24"/>
              </w:rPr>
            </w:pPr>
          </w:p>
        </w:tc>
      </w:tr>
    </w:tbl>
    <w:p w14:paraId="4088A5FA" w14:textId="77777777" w:rsidR="00EB2231" w:rsidRDefault="00EB2231"/>
    <w:sectPr w:rsidR="00EB2231" w:rsidSect="00785758">
      <w:headerReference w:type="even" r:id="rId8"/>
      <w:headerReference w:type="default" r:id="rId9"/>
      <w:footerReference w:type="default" r:id="rId10"/>
      <w:footerReference w:type="first" r:id="rId11"/>
      <w:pgSz w:w="11906" w:h="16838" w:code="9"/>
      <w:pgMar w:top="1440" w:right="1138" w:bottom="1440" w:left="994" w:header="0"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72D0D" w14:textId="77777777" w:rsidR="00E53366" w:rsidRDefault="00E53366">
      <w:r>
        <w:separator/>
      </w:r>
    </w:p>
  </w:endnote>
  <w:endnote w:type="continuationSeparator" w:id="0">
    <w:p w14:paraId="398F5ECD" w14:textId="77777777" w:rsidR="00E53366" w:rsidRDefault="00E5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p w14:paraId="58614CD8" w14:textId="6D172709" w:rsidR="00740B1C" w:rsidRPr="003E058D" w:rsidRDefault="00C53D0D">
            <w:pPr>
              <w:pStyle w:val="Footer"/>
              <w:jc w:val="right"/>
              <w:rPr>
                <w:sz w:val="16"/>
              </w:rPr>
            </w:pPr>
            <w:r>
              <w:rPr>
                <w:sz w:val="16"/>
              </w:rPr>
              <w:t xml:space="preserve">                                                 </w:t>
            </w:r>
            <w:r w:rsidRPr="003E058D">
              <w:rPr>
                <w:sz w:val="16"/>
              </w:rPr>
              <w:t xml:space="preserve">Page </w:t>
            </w:r>
            <w:r w:rsidRPr="003E058D">
              <w:rPr>
                <w:bCs/>
                <w:sz w:val="16"/>
                <w:szCs w:val="24"/>
              </w:rPr>
              <w:fldChar w:fldCharType="begin"/>
            </w:r>
            <w:r w:rsidRPr="003E058D">
              <w:rPr>
                <w:bCs/>
                <w:sz w:val="16"/>
              </w:rPr>
              <w:instrText xml:space="preserve"> PAGE </w:instrText>
            </w:r>
            <w:r w:rsidRPr="003E058D">
              <w:rPr>
                <w:bCs/>
                <w:sz w:val="16"/>
                <w:szCs w:val="24"/>
              </w:rPr>
              <w:fldChar w:fldCharType="separate"/>
            </w:r>
            <w:r w:rsidR="00236459">
              <w:rPr>
                <w:bCs/>
                <w:noProof/>
                <w:sz w:val="16"/>
              </w:rPr>
              <w:t>2</w:t>
            </w:r>
            <w:r w:rsidRPr="003E058D">
              <w:rPr>
                <w:bCs/>
                <w:sz w:val="16"/>
                <w:szCs w:val="24"/>
              </w:rPr>
              <w:fldChar w:fldCharType="end"/>
            </w:r>
            <w:r w:rsidRPr="003E058D">
              <w:rPr>
                <w:sz w:val="16"/>
              </w:rPr>
              <w:t xml:space="preserve"> of </w:t>
            </w:r>
            <w:r w:rsidRPr="003E058D">
              <w:rPr>
                <w:bCs/>
                <w:sz w:val="16"/>
                <w:szCs w:val="24"/>
              </w:rPr>
              <w:fldChar w:fldCharType="begin"/>
            </w:r>
            <w:r w:rsidRPr="003E058D">
              <w:rPr>
                <w:bCs/>
                <w:sz w:val="16"/>
              </w:rPr>
              <w:instrText xml:space="preserve"> NUMPAGES  </w:instrText>
            </w:r>
            <w:r w:rsidRPr="003E058D">
              <w:rPr>
                <w:bCs/>
                <w:sz w:val="16"/>
                <w:szCs w:val="24"/>
              </w:rPr>
              <w:fldChar w:fldCharType="separate"/>
            </w:r>
            <w:r w:rsidR="00236459">
              <w:rPr>
                <w:bCs/>
                <w:noProof/>
                <w:sz w:val="16"/>
              </w:rPr>
              <w:t>2</w:t>
            </w:r>
            <w:r w:rsidRPr="003E058D">
              <w:rPr>
                <w:bCs/>
                <w:sz w:val="16"/>
                <w:szCs w:val="24"/>
              </w:rPr>
              <w:fldChar w:fldCharType="end"/>
            </w:r>
          </w:p>
        </w:sdtContent>
      </w:sdt>
    </w:sdtContent>
  </w:sdt>
  <w:p w14:paraId="27CDE3F8" w14:textId="77777777" w:rsidR="00740B1C" w:rsidRPr="00A27D60" w:rsidRDefault="00236459" w:rsidP="00740B1C">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14:paraId="059C050E" w14:textId="513D9C6A" w:rsidR="00740B1C" w:rsidRDefault="00C53D0D" w:rsidP="00740B1C">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236459">
              <w:rPr>
                <w:bCs/>
                <w:noProof/>
                <w:sz w:val="16"/>
                <w:szCs w:val="16"/>
              </w:rPr>
              <w:t>2</w:t>
            </w:r>
            <w:r w:rsidRPr="008F59C5">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17238" w14:textId="77777777" w:rsidR="00E53366" w:rsidRDefault="00E53366">
      <w:r>
        <w:separator/>
      </w:r>
    </w:p>
  </w:footnote>
  <w:footnote w:type="continuationSeparator" w:id="0">
    <w:p w14:paraId="19F82D3A" w14:textId="77777777" w:rsidR="00E53366" w:rsidRDefault="00E53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FED34" w14:textId="77777777" w:rsidR="00740B1C" w:rsidRDefault="00C53D0D">
    <w:pPr>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AB07" w14:textId="77777777" w:rsidR="00740B1C" w:rsidRDefault="00236459">
    <w:pPr>
      <w:jc w:val="center"/>
      <w:rPr>
        <w:sz w:val="16"/>
      </w:rPr>
    </w:pPr>
  </w:p>
  <w:p w14:paraId="741CE78F" w14:textId="77777777" w:rsidR="00325081" w:rsidRDefault="00236459">
    <w:pPr>
      <w:jc w:val="center"/>
      <w:rPr>
        <w:sz w:val="16"/>
      </w:rPr>
    </w:pPr>
  </w:p>
  <w:p w14:paraId="13EC45C0" w14:textId="77777777" w:rsidR="00325081" w:rsidRDefault="00236459">
    <w:pPr>
      <w:jc w:val="center"/>
      <w:rPr>
        <w:sz w:val="16"/>
      </w:rPr>
    </w:pPr>
  </w:p>
  <w:p w14:paraId="6A3C8055" w14:textId="77777777" w:rsidR="00325081" w:rsidRDefault="00236459">
    <w:pP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6C41"/>
    <w:multiLevelType w:val="hybridMultilevel"/>
    <w:tmpl w:val="0CB4D5B2"/>
    <w:lvl w:ilvl="0" w:tplc="90D022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750A9"/>
    <w:multiLevelType w:val="hybridMultilevel"/>
    <w:tmpl w:val="B76421A6"/>
    <w:lvl w:ilvl="0" w:tplc="73CCF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0D"/>
    <w:rsid w:val="001E7800"/>
    <w:rsid w:val="00236459"/>
    <w:rsid w:val="002D2179"/>
    <w:rsid w:val="00486944"/>
    <w:rsid w:val="006A7ED0"/>
    <w:rsid w:val="006D6ECA"/>
    <w:rsid w:val="00785758"/>
    <w:rsid w:val="007A40C9"/>
    <w:rsid w:val="00926A35"/>
    <w:rsid w:val="00C53D0D"/>
    <w:rsid w:val="00D012C3"/>
    <w:rsid w:val="00D30055"/>
    <w:rsid w:val="00E036AD"/>
    <w:rsid w:val="00E53366"/>
    <w:rsid w:val="00E71EF1"/>
    <w:rsid w:val="00E95FB7"/>
    <w:rsid w:val="00EB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D452"/>
  <w15:chartTrackingRefBased/>
  <w15:docId w15:val="{4B72D57F-9254-40F6-B179-E4681777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D0D"/>
    <w:pPr>
      <w:spacing w:after="0" w:line="240" w:lineRule="auto"/>
    </w:pPr>
    <w:rPr>
      <w:rFonts w:ascii="Arial" w:eastAsia="Times New Roman" w:hAnsi="Arial" w:cs="Times New Roman"/>
      <w:color w:val="000000"/>
      <w:sz w:val="24"/>
      <w:szCs w:val="20"/>
      <w:lang w:eastAsia="en-GB"/>
    </w:rPr>
  </w:style>
  <w:style w:type="paragraph" w:styleId="Heading1">
    <w:name w:val="heading 1"/>
    <w:basedOn w:val="Normal"/>
    <w:next w:val="Normal"/>
    <w:link w:val="Heading1Char"/>
    <w:qFormat/>
    <w:rsid w:val="00C53D0D"/>
    <w:pPr>
      <w:keepNext/>
      <w:spacing w:line="312" w:lineRule="auto"/>
      <w:ind w:left="540"/>
      <w:outlineLvl w:val="0"/>
    </w:pPr>
    <w:rPr>
      <w:rFonts w:cs="Arial"/>
      <w:b/>
      <w:bCs/>
      <w:color w:val="auto"/>
      <w:szCs w:val="24"/>
      <w:lang w:eastAsia="en-US"/>
    </w:rPr>
  </w:style>
  <w:style w:type="paragraph" w:styleId="Heading2">
    <w:name w:val="heading 2"/>
    <w:basedOn w:val="Normal"/>
    <w:next w:val="Normal"/>
    <w:link w:val="Heading2Char"/>
    <w:qFormat/>
    <w:rsid w:val="00C53D0D"/>
    <w:pPr>
      <w:keepNext/>
      <w:spacing w:line="312" w:lineRule="auto"/>
      <w:ind w:left="851"/>
      <w:outlineLvl w:val="1"/>
    </w:pPr>
    <w:rPr>
      <w:rFonts w:eastAsia="SimSun" w:cs="Arial"/>
      <w:b/>
      <w:bCs/>
      <w:color w:val="auto"/>
      <w:sz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D0D"/>
    <w:rPr>
      <w:rFonts w:ascii="Arial" w:eastAsia="Times New Roman" w:hAnsi="Arial" w:cs="Arial"/>
      <w:b/>
      <w:bCs/>
      <w:sz w:val="24"/>
      <w:szCs w:val="24"/>
    </w:rPr>
  </w:style>
  <w:style w:type="character" w:customStyle="1" w:styleId="Heading2Char">
    <w:name w:val="Heading 2 Char"/>
    <w:basedOn w:val="DefaultParagraphFont"/>
    <w:link w:val="Heading2"/>
    <w:rsid w:val="00C53D0D"/>
    <w:rPr>
      <w:rFonts w:ascii="Arial" w:eastAsia="SimSun" w:hAnsi="Arial" w:cs="Arial"/>
      <w:b/>
      <w:bCs/>
      <w:sz w:val="32"/>
      <w:szCs w:val="20"/>
      <w:lang w:val="en-GB"/>
    </w:rPr>
  </w:style>
  <w:style w:type="paragraph" w:styleId="Footer">
    <w:name w:val="footer"/>
    <w:basedOn w:val="Normal"/>
    <w:link w:val="FooterChar"/>
    <w:uiPriority w:val="99"/>
    <w:unhideWhenUsed/>
    <w:rsid w:val="00C53D0D"/>
    <w:pPr>
      <w:tabs>
        <w:tab w:val="center" w:pos="4513"/>
        <w:tab w:val="right" w:pos="9026"/>
      </w:tabs>
    </w:pPr>
  </w:style>
  <w:style w:type="character" w:customStyle="1" w:styleId="FooterChar">
    <w:name w:val="Footer Char"/>
    <w:basedOn w:val="DefaultParagraphFont"/>
    <w:link w:val="Footer"/>
    <w:uiPriority w:val="99"/>
    <w:rsid w:val="00C53D0D"/>
    <w:rPr>
      <w:rFonts w:ascii="Arial" w:eastAsia="Times New Roman" w:hAnsi="Arial" w:cs="Times New Roman"/>
      <w:color w:val="000000"/>
      <w:sz w:val="24"/>
      <w:szCs w:val="20"/>
      <w:lang w:eastAsia="en-GB"/>
    </w:rPr>
  </w:style>
  <w:style w:type="table" w:styleId="TableGrid">
    <w:name w:val="Table Grid"/>
    <w:basedOn w:val="TableNormal"/>
    <w:uiPriority w:val="59"/>
    <w:rsid w:val="00C53D0D"/>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3D0D"/>
    <w:pPr>
      <w:spacing w:after="200" w:line="276" w:lineRule="auto"/>
    </w:pPr>
    <w:rPr>
      <w:rFonts w:ascii="Times New Roman" w:eastAsiaTheme="minorHAnsi" w:hAnsi="Times New Roman"/>
      <w:color w:val="auto"/>
      <w:szCs w:val="24"/>
      <w:lang w:val="en-GB" w:eastAsia="en-US"/>
    </w:rPr>
  </w:style>
  <w:style w:type="character" w:styleId="Emphasis">
    <w:name w:val="Emphasis"/>
    <w:basedOn w:val="DefaultParagraphFont"/>
    <w:uiPriority w:val="20"/>
    <w:qFormat/>
    <w:rsid w:val="00C53D0D"/>
    <w:rPr>
      <w:b/>
      <w:bCs/>
      <w:i w:val="0"/>
      <w:iCs w:val="0"/>
    </w:rPr>
  </w:style>
  <w:style w:type="paragraph" w:styleId="ListParagraph">
    <w:name w:val="List Paragraph"/>
    <w:basedOn w:val="Normal"/>
    <w:uiPriority w:val="34"/>
    <w:qFormat/>
    <w:rsid w:val="00486944"/>
    <w:pPr>
      <w:ind w:left="720"/>
      <w:contextualSpacing/>
    </w:pPr>
  </w:style>
  <w:style w:type="paragraph" w:styleId="Header">
    <w:name w:val="header"/>
    <w:basedOn w:val="Normal"/>
    <w:link w:val="HeaderChar"/>
    <w:uiPriority w:val="99"/>
    <w:unhideWhenUsed/>
    <w:rsid w:val="00E036AD"/>
    <w:pPr>
      <w:tabs>
        <w:tab w:val="center" w:pos="4680"/>
        <w:tab w:val="right" w:pos="9360"/>
      </w:tabs>
    </w:pPr>
  </w:style>
  <w:style w:type="character" w:customStyle="1" w:styleId="HeaderChar">
    <w:name w:val="Header Char"/>
    <w:basedOn w:val="DefaultParagraphFont"/>
    <w:link w:val="Header"/>
    <w:uiPriority w:val="99"/>
    <w:rsid w:val="00E036AD"/>
    <w:rPr>
      <w:rFonts w:ascii="Arial" w:eastAsia="Times New Roman" w:hAnsi="Arial"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Francinah Seanego</dc:creator>
  <cp:keywords/>
  <dc:description/>
  <cp:lastModifiedBy>Michael  Plaatjies</cp:lastModifiedBy>
  <cp:revision>4</cp:revision>
  <cp:lastPrinted>2018-12-14T12:07:00Z</cp:lastPrinted>
  <dcterms:created xsi:type="dcterms:W3CDTF">2018-12-14T09:39:00Z</dcterms:created>
  <dcterms:modified xsi:type="dcterms:W3CDTF">2018-12-14T12:07:00Z</dcterms:modified>
</cp:coreProperties>
</file>