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w:t>
      </w:r>
      <w:r w:rsidR="00A87CFB">
        <w:rPr>
          <w:b/>
          <w:bCs/>
          <w:sz w:val="24"/>
          <w:u w:val="single"/>
        </w:rPr>
        <w:t>604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1426F">
        <w:rPr>
          <w:b/>
          <w:bCs/>
          <w:sz w:val="24"/>
          <w:u w:val="single"/>
        </w:rPr>
        <w:t>23</w:t>
      </w:r>
      <w:r w:rsidR="00561AFB">
        <w:rPr>
          <w:b/>
          <w:bCs/>
          <w:sz w:val="24"/>
          <w:u w:val="single"/>
        </w:rPr>
        <w:t xml:space="preserve"> NOVEMBER</w:t>
      </w:r>
      <w:r w:rsidR="00AB2486">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51426F">
        <w:rPr>
          <w:b/>
          <w:bCs/>
          <w:sz w:val="24"/>
          <w:u w:val="single"/>
        </w:rPr>
        <w:t>42</w:t>
      </w:r>
      <w:r w:rsidRPr="00294557">
        <w:rPr>
          <w:b/>
          <w:bCs/>
          <w:sz w:val="24"/>
          <w:u w:val="single"/>
        </w:rPr>
        <w:t>)</w:t>
      </w:r>
    </w:p>
    <w:p w:rsidR="00A87CFB" w:rsidRPr="00A87CFB" w:rsidRDefault="00A87CFB" w:rsidP="00A87CFB">
      <w:pPr>
        <w:spacing w:before="100" w:beforeAutospacing="1" w:after="100" w:afterAutospacing="1"/>
        <w:rPr>
          <w:sz w:val="24"/>
          <w:u w:val="single"/>
        </w:rPr>
      </w:pPr>
      <w:r w:rsidRPr="00A87CFB">
        <w:rPr>
          <w:b/>
          <w:sz w:val="24"/>
          <w:u w:val="single"/>
        </w:rPr>
        <w:t xml:space="preserve">Ms S P </w:t>
      </w:r>
      <w:r w:rsidRPr="00A87CFB">
        <w:rPr>
          <w:b/>
          <w:noProof/>
          <w:sz w:val="24"/>
          <w:u w:val="single"/>
        </w:rPr>
        <w:t>Kopane</w:t>
      </w:r>
      <w:r w:rsidRPr="00A87CFB">
        <w:rPr>
          <w:b/>
          <w:sz w:val="24"/>
          <w:u w:val="single"/>
        </w:rPr>
        <w:t xml:space="preserve"> (DA) to </w:t>
      </w:r>
      <w:r w:rsidRPr="00A87CFB">
        <w:rPr>
          <w:b/>
          <w:sz w:val="24"/>
          <w:u w:val="single"/>
          <w:lang w:val="en-ZA"/>
        </w:rPr>
        <w:t>ask</w:t>
      </w:r>
      <w:r w:rsidRPr="00A87CFB">
        <w:rPr>
          <w:b/>
          <w:sz w:val="24"/>
          <w:u w:val="single"/>
        </w:rPr>
        <w:t xml:space="preserve"> the Minister of Health:</w:t>
      </w:r>
    </w:p>
    <w:p w:rsidR="00D64DD4" w:rsidRPr="00A87CFB" w:rsidRDefault="00A87CFB" w:rsidP="00DF1C06">
      <w:pPr>
        <w:spacing w:before="100" w:beforeAutospacing="1" w:after="100" w:afterAutospacing="1"/>
        <w:jc w:val="both"/>
        <w:rPr>
          <w:sz w:val="20"/>
          <w:szCs w:val="20"/>
        </w:rPr>
      </w:pPr>
      <w:r w:rsidRPr="00A87CFB">
        <w:rPr>
          <w:sz w:val="24"/>
        </w:rPr>
        <w:t>Do all provinces have plans to deal with malnutrition; if not, why not; if so, what are the relevant details</w:t>
      </w:r>
      <w:r>
        <w:rPr>
          <w:sz w:val="24"/>
        </w:rPr>
        <w:t>?</w:t>
      </w:r>
    </w:p>
    <w:p w:rsidR="00E238C2" w:rsidRPr="00D64DD4" w:rsidRDefault="007E6896" w:rsidP="00D64DD4">
      <w:pPr>
        <w:spacing w:before="100" w:beforeAutospacing="1" w:after="100" w:afterAutospacing="1"/>
        <w:jc w:val="right"/>
        <w:outlineLvl w:val="0"/>
        <w:rPr>
          <w:b/>
          <w:sz w:val="12"/>
          <w:szCs w:val="12"/>
        </w:rPr>
      </w:pPr>
      <w:r w:rsidRPr="00D64DD4">
        <w:rPr>
          <w:b/>
          <w:color w:val="000000"/>
          <w:sz w:val="12"/>
          <w:szCs w:val="12"/>
        </w:rPr>
        <w:t>N</w:t>
      </w:r>
      <w:r w:rsidR="001651E2" w:rsidRPr="00D64DD4">
        <w:rPr>
          <w:b/>
          <w:color w:val="000000"/>
          <w:sz w:val="12"/>
          <w:szCs w:val="12"/>
        </w:rPr>
        <w:t>W</w:t>
      </w:r>
      <w:r w:rsidR="00A87CFB">
        <w:rPr>
          <w:b/>
          <w:color w:val="000000"/>
          <w:sz w:val="12"/>
          <w:szCs w:val="12"/>
        </w:rPr>
        <w:t>4175</w:t>
      </w:r>
      <w:r w:rsidR="00590E40" w:rsidRPr="00D64DD4">
        <w:rPr>
          <w:b/>
          <w:color w:val="000000"/>
          <w:sz w:val="12"/>
          <w:szCs w:val="12"/>
        </w:rPr>
        <w:t>E</w:t>
      </w:r>
      <w:r w:rsidR="00E238C2" w:rsidRPr="00D64DD4">
        <w:rPr>
          <w:b/>
          <w:color w:val="000000"/>
          <w:sz w:val="12"/>
          <w:szCs w:val="12"/>
        </w:rPr>
        <w:t xml:space="preserve"> </w:t>
      </w:r>
    </w:p>
    <w:p w:rsidR="00836775" w:rsidRDefault="00E238C2" w:rsidP="008743D4">
      <w:pPr>
        <w:rPr>
          <w:b/>
          <w:bCs/>
          <w:sz w:val="24"/>
          <w:u w:val="single"/>
          <w:lang w:val="en-US"/>
        </w:rPr>
      </w:pPr>
      <w:r w:rsidRPr="0034705D">
        <w:rPr>
          <w:b/>
          <w:bCs/>
          <w:sz w:val="24"/>
          <w:u w:val="single"/>
          <w:lang w:val="en-US"/>
        </w:rPr>
        <w:t>REPLY:</w:t>
      </w:r>
      <w:bookmarkStart w:id="0" w:name="_GoBack"/>
      <w:bookmarkEnd w:id="0"/>
    </w:p>
    <w:p w:rsidR="00D64DD4" w:rsidRPr="008743D4" w:rsidRDefault="00D64DD4" w:rsidP="008743D4">
      <w:pPr>
        <w:rPr>
          <w:b/>
          <w:bCs/>
          <w:sz w:val="24"/>
          <w:u w:val="single"/>
          <w:lang w:val="en-US"/>
        </w:rPr>
      </w:pPr>
    </w:p>
    <w:p w:rsidR="00E51114" w:rsidRPr="00E51114" w:rsidRDefault="00E51114" w:rsidP="00E51114">
      <w:pPr>
        <w:spacing w:after="240"/>
        <w:jc w:val="both"/>
        <w:rPr>
          <w:sz w:val="24"/>
        </w:rPr>
      </w:pPr>
      <w:r w:rsidRPr="00E51114">
        <w:rPr>
          <w:sz w:val="24"/>
        </w:rPr>
        <w:t>All nine Provinces have plans to deal with malnutrition, specifically to address prevention and management of acute malnutrition in young children. Four provinces (Eastern Cape, Free State, Mpumalanga and North West) have malnutrition plans which have been approved by the relevant Head of Health. The other provinces have draft plans that are in the process of being approved.</w:t>
      </w:r>
    </w:p>
    <w:p w:rsidR="00E51114" w:rsidRPr="00E51114" w:rsidRDefault="00E51114" w:rsidP="00E51114">
      <w:pPr>
        <w:spacing w:after="240"/>
        <w:ind w:right="-146"/>
        <w:jc w:val="both"/>
        <w:rPr>
          <w:sz w:val="24"/>
          <w:lang w:val="en-US"/>
        </w:rPr>
      </w:pPr>
      <w:r w:rsidRPr="00E51114">
        <w:rPr>
          <w:sz w:val="24"/>
          <w:lang w:val="en-US"/>
        </w:rPr>
        <w:t xml:space="preserve">The aim of the plan is to reduce the incidence and mortality due to moderate and severe acute malnutrition among children below 5 years of age.  The plan addresses the following key areas: </w:t>
      </w:r>
    </w:p>
    <w:p w:rsidR="00E51114" w:rsidRPr="00E51114" w:rsidRDefault="00E51114" w:rsidP="00E51114">
      <w:pPr>
        <w:pStyle w:val="ListParagraph"/>
        <w:numPr>
          <w:ilvl w:val="0"/>
          <w:numId w:val="3"/>
        </w:numPr>
        <w:spacing w:after="240"/>
        <w:ind w:left="284" w:right="-146" w:hanging="284"/>
        <w:contextualSpacing w:val="0"/>
        <w:jc w:val="both"/>
        <w:rPr>
          <w:rFonts w:eastAsia="Times New Roman"/>
          <w:sz w:val="24"/>
          <w:lang w:val="en-US"/>
        </w:rPr>
      </w:pPr>
      <w:r w:rsidRPr="00E51114">
        <w:rPr>
          <w:rFonts w:eastAsia="Times New Roman"/>
          <w:sz w:val="24"/>
          <w:lang w:val="en-US"/>
        </w:rPr>
        <w:t>prevention strategies:</w:t>
      </w:r>
      <w:r>
        <w:rPr>
          <w:rFonts w:eastAsia="Times New Roman"/>
          <w:sz w:val="24"/>
          <w:lang w:val="en-US"/>
        </w:rPr>
        <w:t xml:space="preserve"> </w:t>
      </w:r>
      <w:r w:rsidRPr="00E51114">
        <w:rPr>
          <w:rFonts w:eastAsia="Times New Roman"/>
          <w:sz w:val="24"/>
          <w:lang w:val="en-US"/>
        </w:rPr>
        <w:t>(breastfeeding promotion and support,</w:t>
      </w:r>
      <w:r w:rsidRPr="00E51114">
        <w:rPr>
          <w:sz w:val="24"/>
        </w:rPr>
        <w:t>promotion of appropriate complementary feeding,</w:t>
      </w:r>
      <w:r w:rsidRPr="00E51114">
        <w:rPr>
          <w:rFonts w:eastAsia="Times New Roman"/>
          <w:sz w:val="24"/>
          <w:lang w:val="en-US"/>
        </w:rPr>
        <w:t xml:space="preserve"> routine growth monitoring at all Primary Health Care (PHC) facilities using the Road to Health Booklet, provision of nutritional supplements, </w:t>
      </w:r>
      <w:r w:rsidRPr="00E51114">
        <w:rPr>
          <w:sz w:val="24"/>
        </w:rPr>
        <w:t>prevention of mother-to-child transmission of HIV and</w:t>
      </w:r>
      <w:r>
        <w:rPr>
          <w:sz w:val="24"/>
        </w:rPr>
        <w:t xml:space="preserve"> </w:t>
      </w:r>
      <w:r w:rsidRPr="00E51114">
        <w:rPr>
          <w:sz w:val="24"/>
        </w:rPr>
        <w:t>ensuring that all children are immunised)</w:t>
      </w:r>
    </w:p>
    <w:p w:rsidR="00E51114" w:rsidRPr="00E51114" w:rsidRDefault="00E51114" w:rsidP="00E51114">
      <w:pPr>
        <w:pStyle w:val="ListParagraph"/>
        <w:numPr>
          <w:ilvl w:val="0"/>
          <w:numId w:val="3"/>
        </w:numPr>
        <w:spacing w:after="240"/>
        <w:ind w:left="284" w:right="-146" w:hanging="284"/>
        <w:contextualSpacing w:val="0"/>
        <w:jc w:val="both"/>
        <w:rPr>
          <w:rFonts w:eastAsia="Times New Roman"/>
          <w:sz w:val="24"/>
          <w:lang w:val="en-US"/>
        </w:rPr>
      </w:pPr>
      <w:r w:rsidRPr="00E51114">
        <w:rPr>
          <w:rFonts w:eastAsia="Times New Roman"/>
          <w:sz w:val="24"/>
          <w:lang w:val="en-US"/>
        </w:rPr>
        <w:t>case detection: (routine growth monitoring, nutritional assessment of all children under 5 years who are admitted to hospital (irrespective of diagnosis))</w:t>
      </w:r>
    </w:p>
    <w:p w:rsidR="00E51114" w:rsidRPr="00E51114" w:rsidRDefault="00E51114" w:rsidP="00E51114">
      <w:pPr>
        <w:pStyle w:val="ListParagraph"/>
        <w:numPr>
          <w:ilvl w:val="0"/>
          <w:numId w:val="3"/>
        </w:numPr>
        <w:spacing w:after="240"/>
        <w:ind w:left="284" w:right="-146" w:hanging="284"/>
        <w:contextualSpacing w:val="0"/>
        <w:jc w:val="both"/>
        <w:rPr>
          <w:rFonts w:eastAsia="Times New Roman"/>
          <w:sz w:val="24"/>
          <w:lang w:val="en-US"/>
        </w:rPr>
      </w:pPr>
      <w:r w:rsidRPr="00E51114">
        <w:rPr>
          <w:rFonts w:eastAsia="Times New Roman"/>
          <w:sz w:val="24"/>
          <w:lang w:val="en-US"/>
        </w:rPr>
        <w:t>inpatient case management:</w:t>
      </w:r>
      <w:r w:rsidRPr="00E51114">
        <w:rPr>
          <w:sz w:val="24"/>
        </w:rPr>
        <w:t>(standard protocols for the management of severe acute malnutrition, provision of therapeutic foods, Emergency Triage Assessment and Treatment (ETAT),</w:t>
      </w:r>
    </w:p>
    <w:p w:rsidR="00E51114" w:rsidRPr="00E51114" w:rsidRDefault="00E51114" w:rsidP="00E51114">
      <w:pPr>
        <w:pStyle w:val="ListParagraph"/>
        <w:numPr>
          <w:ilvl w:val="0"/>
          <w:numId w:val="3"/>
        </w:numPr>
        <w:spacing w:after="240"/>
        <w:ind w:left="284" w:right="-146" w:hanging="284"/>
        <w:contextualSpacing w:val="0"/>
        <w:jc w:val="both"/>
        <w:rPr>
          <w:rFonts w:eastAsia="Times New Roman"/>
          <w:sz w:val="24"/>
          <w:lang w:val="en-US"/>
        </w:rPr>
      </w:pPr>
      <w:r w:rsidRPr="00E51114">
        <w:rPr>
          <w:rFonts w:eastAsia="Times New Roman"/>
          <w:sz w:val="24"/>
          <w:lang w:val="en-US"/>
        </w:rPr>
        <w:t>linkages with communities for follow-up care after discharge from inpatient care: (follow-up care at PHC facilities)</w:t>
      </w:r>
    </w:p>
    <w:p w:rsidR="00E51114" w:rsidRPr="00E51114" w:rsidRDefault="00E51114" w:rsidP="00E51114">
      <w:pPr>
        <w:pStyle w:val="ListParagraph"/>
        <w:numPr>
          <w:ilvl w:val="0"/>
          <w:numId w:val="3"/>
        </w:numPr>
        <w:spacing w:after="240"/>
        <w:ind w:left="284" w:right="-146" w:hanging="284"/>
        <w:contextualSpacing w:val="0"/>
        <w:jc w:val="both"/>
        <w:rPr>
          <w:rFonts w:eastAsia="Times New Roman"/>
          <w:sz w:val="24"/>
          <w:lang w:val="en-US"/>
        </w:rPr>
      </w:pPr>
      <w:proofErr w:type="gramStart"/>
      <w:r w:rsidRPr="00E51114">
        <w:rPr>
          <w:rFonts w:eastAsia="Times New Roman"/>
          <w:sz w:val="24"/>
          <w:lang w:val="en-US"/>
        </w:rPr>
        <w:t>data</w:t>
      </w:r>
      <w:proofErr w:type="gramEnd"/>
      <w:r w:rsidRPr="00E51114">
        <w:rPr>
          <w:rFonts w:eastAsia="Times New Roman"/>
          <w:sz w:val="24"/>
          <w:lang w:val="en-US"/>
        </w:rPr>
        <w:t xml:space="preserve"> recording and reporting systems.</w:t>
      </w:r>
    </w:p>
    <w:p w:rsidR="00D64DD4" w:rsidRDefault="00D64DD4"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B39" w:rsidRDefault="00615B39">
      <w:r>
        <w:separator/>
      </w:r>
    </w:p>
  </w:endnote>
  <w:endnote w:type="continuationSeparator" w:id="0">
    <w:p w:rsidR="00615B39" w:rsidRDefault="00615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7F29E9">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7F29E9">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8205F">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B39" w:rsidRDefault="00615B39">
      <w:r>
        <w:separator/>
      </w:r>
    </w:p>
  </w:footnote>
  <w:footnote w:type="continuationSeparator" w:id="0">
    <w:p w:rsidR="00615B39" w:rsidRDefault="00615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B25"/>
    <w:multiLevelType w:val="hybridMultilevel"/>
    <w:tmpl w:val="474237E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571D3D36"/>
    <w:multiLevelType w:val="hybridMultilevel"/>
    <w:tmpl w:val="A1165314"/>
    <w:lvl w:ilvl="0" w:tplc="9304807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677218"/>
    <w:multiLevelType w:val="hybridMultilevel"/>
    <w:tmpl w:val="646AD114"/>
    <w:lvl w:ilvl="0" w:tplc="91088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07FA2"/>
    <w:rsid w:val="00010772"/>
    <w:rsid w:val="00012AE9"/>
    <w:rsid w:val="00014E41"/>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737F7"/>
    <w:rsid w:val="00081C61"/>
    <w:rsid w:val="00081C7A"/>
    <w:rsid w:val="000843CA"/>
    <w:rsid w:val="0008767D"/>
    <w:rsid w:val="00090523"/>
    <w:rsid w:val="00092F24"/>
    <w:rsid w:val="00094A35"/>
    <w:rsid w:val="000959DD"/>
    <w:rsid w:val="000960D7"/>
    <w:rsid w:val="00096CD4"/>
    <w:rsid w:val="000A115E"/>
    <w:rsid w:val="000A20B0"/>
    <w:rsid w:val="000A5C4B"/>
    <w:rsid w:val="000B120A"/>
    <w:rsid w:val="000B182C"/>
    <w:rsid w:val="000B1CBF"/>
    <w:rsid w:val="000B3983"/>
    <w:rsid w:val="000B4AB8"/>
    <w:rsid w:val="000C2EDD"/>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47A"/>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0B8A"/>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035C"/>
    <w:rsid w:val="0034705D"/>
    <w:rsid w:val="00347418"/>
    <w:rsid w:val="003541B7"/>
    <w:rsid w:val="003548B4"/>
    <w:rsid w:val="00355BB7"/>
    <w:rsid w:val="00357A10"/>
    <w:rsid w:val="00361D1B"/>
    <w:rsid w:val="00366B08"/>
    <w:rsid w:val="00366E06"/>
    <w:rsid w:val="0036751E"/>
    <w:rsid w:val="00370D0F"/>
    <w:rsid w:val="00371538"/>
    <w:rsid w:val="003715DB"/>
    <w:rsid w:val="0038205F"/>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26F"/>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1AFB"/>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5B39"/>
    <w:rsid w:val="00616273"/>
    <w:rsid w:val="00616356"/>
    <w:rsid w:val="006175C7"/>
    <w:rsid w:val="00623C5C"/>
    <w:rsid w:val="00623E12"/>
    <w:rsid w:val="00635745"/>
    <w:rsid w:val="00635890"/>
    <w:rsid w:val="00637291"/>
    <w:rsid w:val="0063794C"/>
    <w:rsid w:val="00646F50"/>
    <w:rsid w:val="00650785"/>
    <w:rsid w:val="00650D6E"/>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5372C"/>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229A"/>
    <w:rsid w:val="007E6493"/>
    <w:rsid w:val="007E6896"/>
    <w:rsid w:val="007F19E9"/>
    <w:rsid w:val="007F296D"/>
    <w:rsid w:val="007F29E9"/>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2FD0"/>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57766"/>
    <w:rsid w:val="00A60052"/>
    <w:rsid w:val="00A6048F"/>
    <w:rsid w:val="00A74285"/>
    <w:rsid w:val="00A7509E"/>
    <w:rsid w:val="00A756AC"/>
    <w:rsid w:val="00A76B2C"/>
    <w:rsid w:val="00A80234"/>
    <w:rsid w:val="00A80F10"/>
    <w:rsid w:val="00A82D5D"/>
    <w:rsid w:val="00A84A36"/>
    <w:rsid w:val="00A8537B"/>
    <w:rsid w:val="00A874BD"/>
    <w:rsid w:val="00A87CFA"/>
    <w:rsid w:val="00A87CFB"/>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AF3556"/>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4F25"/>
    <w:rsid w:val="00BB5A2A"/>
    <w:rsid w:val="00BB727B"/>
    <w:rsid w:val="00BC04F9"/>
    <w:rsid w:val="00BC4703"/>
    <w:rsid w:val="00BC6E9C"/>
    <w:rsid w:val="00BC7E1F"/>
    <w:rsid w:val="00BD4034"/>
    <w:rsid w:val="00BD4501"/>
    <w:rsid w:val="00BE2AEE"/>
    <w:rsid w:val="00BE5AF9"/>
    <w:rsid w:val="00BF1ED9"/>
    <w:rsid w:val="00BF34BE"/>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92CCA"/>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4DD4"/>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385A"/>
    <w:rsid w:val="00DC0B8B"/>
    <w:rsid w:val="00DC1DD2"/>
    <w:rsid w:val="00DC2CAF"/>
    <w:rsid w:val="00DC2D05"/>
    <w:rsid w:val="00DC6ECC"/>
    <w:rsid w:val="00DC7AE6"/>
    <w:rsid w:val="00DD14BC"/>
    <w:rsid w:val="00DD5010"/>
    <w:rsid w:val="00DD52E6"/>
    <w:rsid w:val="00DE1045"/>
    <w:rsid w:val="00DE233C"/>
    <w:rsid w:val="00DE2D82"/>
    <w:rsid w:val="00DE4636"/>
    <w:rsid w:val="00DE787B"/>
    <w:rsid w:val="00DF0073"/>
    <w:rsid w:val="00DF02FF"/>
    <w:rsid w:val="00DF0CFA"/>
    <w:rsid w:val="00DF1C06"/>
    <w:rsid w:val="00DF6212"/>
    <w:rsid w:val="00E040FD"/>
    <w:rsid w:val="00E066C4"/>
    <w:rsid w:val="00E11BD3"/>
    <w:rsid w:val="00E145AA"/>
    <w:rsid w:val="00E161FB"/>
    <w:rsid w:val="00E162B3"/>
    <w:rsid w:val="00E20597"/>
    <w:rsid w:val="00E238C2"/>
    <w:rsid w:val="00E249F3"/>
    <w:rsid w:val="00E256E5"/>
    <w:rsid w:val="00E33D9D"/>
    <w:rsid w:val="00E371B8"/>
    <w:rsid w:val="00E37A82"/>
    <w:rsid w:val="00E42417"/>
    <w:rsid w:val="00E43571"/>
    <w:rsid w:val="00E51114"/>
    <w:rsid w:val="00E54AF8"/>
    <w:rsid w:val="00E5772A"/>
    <w:rsid w:val="00E61438"/>
    <w:rsid w:val="00E61656"/>
    <w:rsid w:val="00E6419C"/>
    <w:rsid w:val="00E64308"/>
    <w:rsid w:val="00E70BD1"/>
    <w:rsid w:val="00E718E3"/>
    <w:rsid w:val="00E741F3"/>
    <w:rsid w:val="00E82ED2"/>
    <w:rsid w:val="00E85240"/>
    <w:rsid w:val="00E9265B"/>
    <w:rsid w:val="00EA267D"/>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47A48"/>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1E38"/>
    <w:rsid w:val="00FB21D8"/>
    <w:rsid w:val="00FB26C1"/>
    <w:rsid w:val="00FB4984"/>
    <w:rsid w:val="00FB5A74"/>
    <w:rsid w:val="00FC0A6C"/>
    <w:rsid w:val="00FC68A2"/>
    <w:rsid w:val="00FC6A90"/>
    <w:rsid w:val="00FD42B3"/>
    <w:rsid w:val="00FD6E22"/>
    <w:rsid w:val="00FE00A3"/>
    <w:rsid w:val="00FE233F"/>
    <w:rsid w:val="00FF0FBA"/>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2Char">
    <w:name w:val="Heading 2 Char"/>
    <w:basedOn w:val="DefaultParagraphFont"/>
    <w:link w:val="Heading2"/>
    <w:rsid w:val="00561AFB"/>
    <w:rPr>
      <w:rFonts w:ascii="Arial" w:hAnsi="Arial" w:cs="Arial"/>
      <w:b/>
      <w:bCs/>
      <w:szCs w:val="24"/>
      <w:u w:val="single"/>
      <w:lang w:val="en-GB" w:eastAsia="en-US"/>
    </w:rPr>
  </w:style>
  <w:style w:type="character" w:customStyle="1" w:styleId="Heading6Char">
    <w:name w:val="Heading 6 Char"/>
    <w:basedOn w:val="DefaultParagraphFont"/>
    <w:link w:val="Heading6"/>
    <w:uiPriority w:val="9"/>
    <w:rsid w:val="00561AFB"/>
    <w:rPr>
      <w:rFonts w:ascii="Arial" w:hAnsi="Arial" w:cs="Arial"/>
      <w:b/>
      <w:bCs/>
      <w:sz w:val="12"/>
      <w:szCs w:val="24"/>
      <w:lang w:val="en-GB" w:eastAsia="en-US"/>
    </w:rPr>
  </w:style>
  <w:style w:type="character" w:customStyle="1" w:styleId="BodyText2Char">
    <w:name w:val="Body Text 2 Char"/>
    <w:basedOn w:val="DefaultParagraphFont"/>
    <w:link w:val="BodyText2"/>
    <w:rsid w:val="00561AFB"/>
    <w:rPr>
      <w:rFonts w:ascii="Arial" w:hAnsi="Arial" w:cs="Arial"/>
      <w:szCs w:val="24"/>
      <w:lang w:val="en-GB" w:eastAsia="en-US"/>
    </w:rPr>
  </w:style>
  <w:style w:type="character" w:customStyle="1" w:styleId="HeaderChar">
    <w:name w:val="Header Char"/>
    <w:basedOn w:val="DefaultParagraphFont"/>
    <w:link w:val="Header"/>
    <w:uiPriority w:val="99"/>
    <w:rsid w:val="00561AFB"/>
    <w:rPr>
      <w:rFonts w:ascii="Arial" w:hAnsi="Arial" w:cs="Arial"/>
      <w:sz w:val="22"/>
      <w:szCs w:val="24"/>
      <w:lang w:val="en-GB" w:eastAsia="en-US"/>
    </w:rPr>
  </w:style>
  <w:style w:type="table" w:customStyle="1" w:styleId="LightShading1">
    <w:name w:val="Light Shading1"/>
    <w:basedOn w:val="TableNormal"/>
    <w:uiPriority w:val="60"/>
    <w:rsid w:val="00561AFB"/>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basedOn w:val="DefaultParagraphFont"/>
    <w:link w:val="BodyText3"/>
    <w:uiPriority w:val="99"/>
    <w:rsid w:val="00561AFB"/>
    <w:rPr>
      <w:sz w:val="24"/>
      <w:szCs w:val="24"/>
      <w:lang w:val="en-US" w:eastAsia="en-US"/>
    </w:rPr>
  </w:style>
  <w:style w:type="character" w:styleId="FollowedHyperlink">
    <w:name w:val="FollowedHyperlink"/>
    <w:uiPriority w:val="99"/>
    <w:unhideWhenUsed/>
    <w:rsid w:val="00561AFB"/>
    <w:rPr>
      <w:color w:val="954F72"/>
      <w:u w:val="single"/>
    </w:rPr>
  </w:style>
  <w:style w:type="paragraph" w:customStyle="1" w:styleId="msonormal0">
    <w:name w:val="msonormal"/>
    <w:basedOn w:val="Normal"/>
    <w:rsid w:val="00561AFB"/>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561AF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561A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561AFB"/>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basedOn w:val="DefaultParagraphFont"/>
    <w:link w:val="BalloonText"/>
    <w:uiPriority w:val="99"/>
    <w:semiHidden/>
    <w:rsid w:val="00561AFB"/>
    <w:rPr>
      <w:rFonts w:ascii="Tahoma" w:hAnsi="Tahoma" w:cs="Tahoma"/>
      <w:sz w:val="16"/>
      <w:szCs w:val="16"/>
      <w:lang w:val="en-GB" w:eastAsia="en-US"/>
    </w:rPr>
  </w:style>
  <w:style w:type="paragraph" w:customStyle="1" w:styleId="xl72">
    <w:name w:val="xl72"/>
    <w:basedOn w:val="Normal"/>
    <w:rsid w:val="00561A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4268836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2018-12-03T08:53:00Z</cp:lastPrinted>
  <dcterms:created xsi:type="dcterms:W3CDTF">2019-02-18T10:02:00Z</dcterms:created>
  <dcterms:modified xsi:type="dcterms:W3CDTF">2019-02-18T10:02:00Z</dcterms:modified>
</cp:coreProperties>
</file>