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A002B">
        <w:rPr>
          <w:b/>
          <w:bCs/>
          <w:sz w:val="24"/>
          <w:u w:val="single"/>
        </w:rPr>
        <w:t>36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360D5F">
        <w:rPr>
          <w:b/>
          <w:bCs/>
          <w:sz w:val="24"/>
          <w:u w:val="single"/>
        </w:rPr>
        <w:t>0</w:t>
      </w:r>
      <w:r w:rsidR="00145C76">
        <w:rPr>
          <w:b/>
          <w:bCs/>
          <w:sz w:val="24"/>
          <w:u w:val="single"/>
        </w:rPr>
        <w:t xml:space="preserve"> </w:t>
      </w:r>
      <w:r w:rsidR="00360D5F">
        <w:rPr>
          <w:b/>
          <w:bCs/>
          <w:sz w:val="24"/>
          <w:u w:val="single"/>
        </w:rPr>
        <w:t xml:space="preserve">JUNE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5A002B" w:rsidRPr="005A002B" w:rsidRDefault="005A002B" w:rsidP="005A002B">
      <w:pPr>
        <w:spacing w:before="100" w:beforeAutospacing="1" w:after="100" w:afterAutospacing="1"/>
        <w:ind w:left="720" w:hanging="720"/>
        <w:jc w:val="both"/>
        <w:outlineLvl w:val="0"/>
        <w:rPr>
          <w:b/>
          <w:sz w:val="24"/>
          <w:u w:val="single"/>
        </w:rPr>
      </w:pPr>
      <w:r w:rsidRPr="005A002B">
        <w:rPr>
          <w:b/>
          <w:sz w:val="24"/>
          <w:u w:val="single"/>
        </w:rPr>
        <w:t>Dr S S</w:t>
      </w:r>
      <w:r w:rsidRPr="005A002B">
        <w:rPr>
          <w:b/>
          <w:noProof/>
          <w:sz w:val="24"/>
          <w:u w:val="single"/>
          <w:lang w:val="af-ZA"/>
        </w:rPr>
        <w:t>Thembekwayo</w:t>
      </w:r>
      <w:r w:rsidRPr="005A002B">
        <w:rPr>
          <w:b/>
          <w:sz w:val="24"/>
          <w:u w:val="single"/>
        </w:rPr>
        <w:t xml:space="preserve"> (EFF) to ask the Minister of Health:</w:t>
      </w:r>
    </w:p>
    <w:p w:rsidR="00786C98" w:rsidRPr="00571E94" w:rsidRDefault="005A002B" w:rsidP="005A002B">
      <w:pPr>
        <w:spacing w:before="100" w:beforeAutospacing="1" w:after="100" w:afterAutospacing="1"/>
        <w:ind w:firstLine="11"/>
        <w:jc w:val="both"/>
        <w:rPr>
          <w:noProof/>
          <w:sz w:val="24"/>
          <w:lang w:val="af-ZA"/>
        </w:rPr>
      </w:pPr>
      <w:r w:rsidRPr="005A002B">
        <w:rPr>
          <w:sz w:val="24"/>
        </w:rPr>
        <w:t xml:space="preserve">What is the recorded total number of (a) alcohol-related deaths and (b) children who have been born with </w:t>
      </w:r>
      <w:r w:rsidRPr="005A002B">
        <w:rPr>
          <w:rFonts w:eastAsia="Calibri"/>
          <w:sz w:val="24"/>
        </w:rPr>
        <w:t>foetal</w:t>
      </w:r>
      <w:r w:rsidRPr="005A002B">
        <w:rPr>
          <w:sz w:val="24"/>
        </w:rPr>
        <w:t xml:space="preserve"> alcohol syndrome in (i) each province and (ii) each of the past </w:t>
      </w:r>
      <w:r w:rsidRPr="005A002B">
        <w:rPr>
          <w:noProof/>
          <w:sz w:val="24"/>
          <w:lang w:val="af-ZA"/>
        </w:rPr>
        <w:t>five</w:t>
      </w:r>
      <w:r w:rsidRPr="005A002B">
        <w:rPr>
          <w:sz w:val="24"/>
        </w:rPr>
        <w:t xml:space="preserve"> financial years?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60D5F">
        <w:rPr>
          <w:color w:val="000000"/>
        </w:rPr>
        <w:t>9</w:t>
      </w:r>
      <w:r w:rsidR="005A002B">
        <w:rPr>
          <w:color w:val="000000"/>
        </w:rPr>
        <w:t>93</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1306AC" w:rsidRDefault="001306AC" w:rsidP="001306AC">
      <w:pPr>
        <w:tabs>
          <w:tab w:val="left" w:pos="993"/>
        </w:tabs>
        <w:spacing w:before="200"/>
        <w:ind w:left="993" w:hanging="993"/>
        <w:jc w:val="both"/>
        <w:rPr>
          <w:sz w:val="24"/>
        </w:rPr>
      </w:pPr>
      <w:r>
        <w:rPr>
          <w:sz w:val="24"/>
        </w:rPr>
        <w:t>(a)(i)-(ii)</w:t>
      </w:r>
      <w:r>
        <w:rPr>
          <w:sz w:val="24"/>
        </w:rPr>
        <w:tab/>
        <w:t>Table 1 below provide information on the numbers of alcohol related deaths in South Africa was obtained from the South African Medical Research Council, that was extracted from unit records of deaths provided by Statistics South Africa which are available up to 2016.</w:t>
      </w:r>
    </w:p>
    <w:p w:rsidR="001306AC" w:rsidRDefault="001306AC" w:rsidP="001306AC">
      <w:pPr>
        <w:autoSpaceDE w:val="0"/>
        <w:autoSpaceDN w:val="0"/>
        <w:adjustRightInd w:val="0"/>
        <w:rPr>
          <w:b/>
          <w:bCs/>
          <w:color w:val="000000"/>
          <w:sz w:val="24"/>
          <w:lang w:val="en-ZA"/>
        </w:rPr>
      </w:pPr>
    </w:p>
    <w:p w:rsidR="001306AC" w:rsidRDefault="001306AC" w:rsidP="001306AC">
      <w:pPr>
        <w:autoSpaceDE w:val="0"/>
        <w:autoSpaceDN w:val="0"/>
        <w:adjustRightInd w:val="0"/>
        <w:ind w:left="993"/>
        <w:rPr>
          <w:b/>
          <w:bCs/>
          <w:color w:val="000000"/>
          <w:sz w:val="24"/>
          <w:lang w:val="en-ZA"/>
        </w:rPr>
      </w:pPr>
      <w:r w:rsidRPr="007A5A4B">
        <w:rPr>
          <w:b/>
          <w:bCs/>
          <w:color w:val="000000"/>
          <w:sz w:val="24"/>
          <w:lang w:val="en-ZA"/>
        </w:rPr>
        <w:t>Table 1:</w:t>
      </w:r>
    </w:p>
    <w:p w:rsidR="001306AC" w:rsidRPr="001306AC" w:rsidRDefault="001306AC" w:rsidP="001306AC">
      <w:pPr>
        <w:autoSpaceDE w:val="0"/>
        <w:autoSpaceDN w:val="0"/>
        <w:adjustRightInd w:val="0"/>
        <w:ind w:left="993"/>
        <w:rPr>
          <w:b/>
          <w:bCs/>
          <w:color w:val="000000"/>
          <w:sz w:val="24"/>
          <w:lang w:val="en-ZA"/>
        </w:rPr>
      </w:pPr>
    </w:p>
    <w:tbl>
      <w:tblPr>
        <w:tblW w:w="0" w:type="auto"/>
        <w:tblInd w:w="1023" w:type="dxa"/>
        <w:tblLayout w:type="fixed"/>
        <w:tblCellMar>
          <w:left w:w="30" w:type="dxa"/>
          <w:right w:w="30" w:type="dxa"/>
        </w:tblCellMar>
        <w:tblLook w:val="0000"/>
      </w:tblPr>
      <w:tblGrid>
        <w:gridCol w:w="1984"/>
        <w:gridCol w:w="1134"/>
        <w:gridCol w:w="1134"/>
        <w:gridCol w:w="1276"/>
        <w:gridCol w:w="1276"/>
        <w:gridCol w:w="1134"/>
        <w:gridCol w:w="1275"/>
      </w:tblGrid>
      <w:tr w:rsidR="001306AC" w:rsidRPr="007A5A4B" w:rsidTr="001306AC">
        <w:tblPrEx>
          <w:tblCellMar>
            <w:top w:w="0" w:type="dxa"/>
            <w:bottom w:w="0" w:type="dxa"/>
          </w:tblCellMar>
        </w:tblPrEx>
        <w:trPr>
          <w:trHeight w:val="610"/>
        </w:trPr>
        <w:tc>
          <w:tcPr>
            <w:tcW w:w="9213" w:type="dxa"/>
            <w:gridSpan w:val="7"/>
            <w:tcBorders>
              <w:top w:val="single" w:sz="6" w:space="0" w:color="auto"/>
              <w:left w:val="single" w:sz="6" w:space="0" w:color="auto"/>
              <w:bottom w:val="single" w:sz="6" w:space="0" w:color="auto"/>
              <w:right w:val="single" w:sz="6" w:space="0" w:color="auto"/>
            </w:tcBorders>
          </w:tcPr>
          <w:p w:rsidR="001306AC" w:rsidRPr="007A5A4B" w:rsidRDefault="001306AC" w:rsidP="001306AC">
            <w:pPr>
              <w:autoSpaceDE w:val="0"/>
              <w:autoSpaceDN w:val="0"/>
              <w:adjustRightInd w:val="0"/>
              <w:jc w:val="center"/>
              <w:rPr>
                <w:b/>
                <w:bCs/>
                <w:color w:val="000000"/>
                <w:sz w:val="24"/>
                <w:lang w:val="en-ZA"/>
              </w:rPr>
            </w:pPr>
            <w:r w:rsidRPr="007A5A4B">
              <w:rPr>
                <w:b/>
                <w:bCs/>
                <w:color w:val="000000"/>
                <w:sz w:val="24"/>
                <w:lang w:val="en-ZA"/>
              </w:rPr>
              <w:t>Number of registered deaths with underlying causes that is alcohol related by province, 2012-2016</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 xml:space="preserve">PROVINCE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2012</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2013</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2014</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2015</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2016</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 xml:space="preserve">TOTAL </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 xml:space="preserve">Eastern Cape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47</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87</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110</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116</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107</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467</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 xml:space="preserve">Free State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19</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26</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39</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30</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33</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147</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 xml:space="preserve">Gauteng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40</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53</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45</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48</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57</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243</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KwaZulu-Na</w:t>
            </w:r>
            <w:r>
              <w:rPr>
                <w:color w:val="000000"/>
                <w:sz w:val="24"/>
                <w:lang w:val="en-ZA"/>
              </w:rPr>
              <w:t>t</w:t>
            </w:r>
            <w:r w:rsidRPr="007A5A4B">
              <w:rPr>
                <w:color w:val="000000"/>
                <w:sz w:val="24"/>
                <w:lang w:val="en-ZA"/>
              </w:rPr>
              <w:t xml:space="preserve">al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65</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76</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73</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83</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75</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372</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Limpopo</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20</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15</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18</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23</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20</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96</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 xml:space="preserve">Mpumalanga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18</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12</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16</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22</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11</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79</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3D6BCB">
            <w:pPr>
              <w:autoSpaceDE w:val="0"/>
              <w:autoSpaceDN w:val="0"/>
              <w:adjustRightInd w:val="0"/>
              <w:rPr>
                <w:color w:val="000000"/>
                <w:sz w:val="24"/>
                <w:lang w:val="en-ZA"/>
              </w:rPr>
            </w:pPr>
            <w:r w:rsidRPr="007A5A4B">
              <w:rPr>
                <w:color w:val="000000"/>
                <w:sz w:val="24"/>
                <w:lang w:val="en-ZA"/>
              </w:rPr>
              <w:t xml:space="preserve">North West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3D6BCB">
            <w:pPr>
              <w:autoSpaceDE w:val="0"/>
              <w:autoSpaceDN w:val="0"/>
              <w:adjustRightInd w:val="0"/>
              <w:jc w:val="right"/>
              <w:rPr>
                <w:color w:val="000000"/>
                <w:sz w:val="24"/>
                <w:lang w:val="en-ZA"/>
              </w:rPr>
            </w:pPr>
            <w:r w:rsidRPr="007A5A4B">
              <w:rPr>
                <w:color w:val="000000"/>
                <w:sz w:val="24"/>
                <w:lang w:val="en-ZA"/>
              </w:rPr>
              <w:t>22</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3D6BCB">
            <w:pPr>
              <w:autoSpaceDE w:val="0"/>
              <w:autoSpaceDN w:val="0"/>
              <w:adjustRightInd w:val="0"/>
              <w:jc w:val="right"/>
              <w:rPr>
                <w:color w:val="000000"/>
                <w:sz w:val="24"/>
                <w:lang w:val="en-ZA"/>
              </w:rPr>
            </w:pPr>
            <w:r w:rsidRPr="007A5A4B">
              <w:rPr>
                <w:color w:val="000000"/>
                <w:sz w:val="24"/>
                <w:lang w:val="en-ZA"/>
              </w:rPr>
              <w:t>18</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3D6BCB">
            <w:pPr>
              <w:autoSpaceDE w:val="0"/>
              <w:autoSpaceDN w:val="0"/>
              <w:adjustRightInd w:val="0"/>
              <w:jc w:val="right"/>
              <w:rPr>
                <w:color w:val="000000"/>
                <w:sz w:val="24"/>
                <w:lang w:val="en-ZA"/>
              </w:rPr>
            </w:pPr>
            <w:r w:rsidRPr="007A5A4B">
              <w:rPr>
                <w:color w:val="000000"/>
                <w:sz w:val="24"/>
                <w:lang w:val="en-ZA"/>
              </w:rPr>
              <w:t>16</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3D6BCB">
            <w:pPr>
              <w:autoSpaceDE w:val="0"/>
              <w:autoSpaceDN w:val="0"/>
              <w:adjustRightInd w:val="0"/>
              <w:jc w:val="right"/>
              <w:rPr>
                <w:color w:val="000000"/>
                <w:sz w:val="24"/>
                <w:lang w:val="en-ZA"/>
              </w:rPr>
            </w:pPr>
            <w:r w:rsidRPr="007A5A4B">
              <w:rPr>
                <w:color w:val="000000"/>
                <w:sz w:val="24"/>
                <w:lang w:val="en-ZA"/>
              </w:rPr>
              <w:t>26</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3D6BCB">
            <w:pPr>
              <w:autoSpaceDE w:val="0"/>
              <w:autoSpaceDN w:val="0"/>
              <w:adjustRightInd w:val="0"/>
              <w:jc w:val="right"/>
              <w:rPr>
                <w:color w:val="000000"/>
                <w:sz w:val="24"/>
                <w:lang w:val="en-ZA"/>
              </w:rPr>
            </w:pPr>
            <w:r w:rsidRPr="007A5A4B">
              <w:rPr>
                <w:color w:val="000000"/>
                <w:sz w:val="24"/>
                <w:lang w:val="en-ZA"/>
              </w:rPr>
              <w:t>22</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3D6BCB">
            <w:pPr>
              <w:autoSpaceDE w:val="0"/>
              <w:autoSpaceDN w:val="0"/>
              <w:adjustRightInd w:val="0"/>
              <w:jc w:val="right"/>
              <w:rPr>
                <w:b/>
                <w:bCs/>
                <w:color w:val="000000"/>
                <w:sz w:val="24"/>
                <w:lang w:val="en-ZA"/>
              </w:rPr>
            </w:pPr>
            <w:r w:rsidRPr="007A5A4B">
              <w:rPr>
                <w:b/>
                <w:bCs/>
                <w:color w:val="000000"/>
                <w:sz w:val="24"/>
                <w:lang w:val="en-ZA"/>
              </w:rPr>
              <w:t>104</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 xml:space="preserve">Northern Cape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21</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33</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36</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30</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29</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149</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rPr>
                <w:color w:val="000000"/>
                <w:sz w:val="24"/>
                <w:lang w:val="en-ZA"/>
              </w:rPr>
            </w:pPr>
            <w:r w:rsidRPr="007A5A4B">
              <w:rPr>
                <w:color w:val="000000"/>
                <w:sz w:val="24"/>
                <w:lang w:val="en-ZA"/>
              </w:rPr>
              <w:t xml:space="preserve">Western Cape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118</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120</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129</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123</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color w:val="000000"/>
                <w:sz w:val="24"/>
                <w:lang w:val="en-ZA"/>
              </w:rPr>
            </w:pPr>
            <w:r w:rsidRPr="007A5A4B">
              <w:rPr>
                <w:color w:val="000000"/>
                <w:sz w:val="24"/>
                <w:lang w:val="en-ZA"/>
              </w:rPr>
              <w:t>139</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629</w:t>
            </w:r>
          </w:p>
        </w:tc>
      </w:tr>
      <w:tr w:rsidR="001306AC" w:rsidRPr="007A5A4B" w:rsidTr="001306AC">
        <w:tblPrEx>
          <w:tblCellMar>
            <w:top w:w="0" w:type="dxa"/>
            <w:bottom w:w="0" w:type="dxa"/>
          </w:tblCellMar>
        </w:tblPrEx>
        <w:trPr>
          <w:trHeight w:val="305"/>
        </w:trPr>
        <w:tc>
          <w:tcPr>
            <w:tcW w:w="198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center"/>
              <w:rPr>
                <w:b/>
                <w:bCs/>
                <w:color w:val="000000"/>
                <w:sz w:val="24"/>
                <w:lang w:val="en-ZA"/>
              </w:rPr>
            </w:pPr>
            <w:r w:rsidRPr="007A5A4B">
              <w:rPr>
                <w:b/>
                <w:bCs/>
                <w:color w:val="000000"/>
                <w:sz w:val="24"/>
                <w:lang w:val="en-ZA"/>
              </w:rPr>
              <w:t xml:space="preserve">TOTAL </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370</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440</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482</w:t>
            </w:r>
          </w:p>
        </w:tc>
        <w:tc>
          <w:tcPr>
            <w:tcW w:w="1276"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501</w:t>
            </w:r>
          </w:p>
        </w:tc>
        <w:tc>
          <w:tcPr>
            <w:tcW w:w="1134"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493</w:t>
            </w:r>
          </w:p>
        </w:tc>
        <w:tc>
          <w:tcPr>
            <w:tcW w:w="1275" w:type="dxa"/>
            <w:tcBorders>
              <w:top w:val="single" w:sz="6" w:space="0" w:color="auto"/>
              <w:left w:val="single" w:sz="6" w:space="0" w:color="auto"/>
              <w:bottom w:val="single" w:sz="6" w:space="0" w:color="auto"/>
              <w:right w:val="single" w:sz="6" w:space="0" w:color="auto"/>
            </w:tcBorders>
          </w:tcPr>
          <w:p w:rsidR="001306AC" w:rsidRPr="007A5A4B" w:rsidRDefault="001306AC" w:rsidP="00A2030E">
            <w:pPr>
              <w:autoSpaceDE w:val="0"/>
              <w:autoSpaceDN w:val="0"/>
              <w:adjustRightInd w:val="0"/>
              <w:jc w:val="right"/>
              <w:rPr>
                <w:b/>
                <w:bCs/>
                <w:color w:val="000000"/>
                <w:sz w:val="24"/>
                <w:lang w:val="en-ZA"/>
              </w:rPr>
            </w:pPr>
            <w:r w:rsidRPr="007A5A4B">
              <w:rPr>
                <w:b/>
                <w:bCs/>
                <w:color w:val="000000"/>
                <w:sz w:val="24"/>
                <w:lang w:val="en-ZA"/>
              </w:rPr>
              <w:t>2286</w:t>
            </w:r>
          </w:p>
        </w:tc>
      </w:tr>
    </w:tbl>
    <w:p w:rsidR="001306AC" w:rsidRDefault="001306AC" w:rsidP="001306AC">
      <w:pPr>
        <w:tabs>
          <w:tab w:val="left" w:pos="993"/>
        </w:tabs>
        <w:spacing w:before="240" w:after="120"/>
        <w:ind w:left="993" w:hanging="993"/>
        <w:jc w:val="both"/>
        <w:rPr>
          <w:sz w:val="24"/>
        </w:rPr>
      </w:pPr>
    </w:p>
    <w:p w:rsidR="001306AC" w:rsidRDefault="001306AC">
      <w:pPr>
        <w:rPr>
          <w:sz w:val="24"/>
        </w:rPr>
      </w:pPr>
      <w:r>
        <w:rPr>
          <w:sz w:val="24"/>
        </w:rPr>
        <w:br w:type="page"/>
      </w:r>
    </w:p>
    <w:p w:rsidR="001306AC" w:rsidRDefault="001306AC" w:rsidP="001306AC">
      <w:pPr>
        <w:tabs>
          <w:tab w:val="left" w:pos="993"/>
        </w:tabs>
        <w:spacing w:before="240" w:after="120"/>
        <w:ind w:left="993" w:hanging="993"/>
        <w:jc w:val="both"/>
        <w:rPr>
          <w:sz w:val="24"/>
        </w:rPr>
      </w:pPr>
      <w:r>
        <w:rPr>
          <w:sz w:val="24"/>
        </w:rPr>
        <w:lastRenderedPageBreak/>
        <w:t>(b)(i)-(ii)</w:t>
      </w:r>
      <w:r>
        <w:rPr>
          <w:sz w:val="24"/>
        </w:rPr>
        <w:tab/>
        <w:t>Currently, data is available on the prevalence of foetal alcohol syndrome among grade-1 learners which is collected through surveys that were conducted in selected communities.  Table 2 below provides a summary of the prevalence data that is available and was provided by the Foundation for Alcohol Related Research</w:t>
      </w:r>
      <w:r>
        <w:rPr>
          <w:rStyle w:val="FootnoteReference"/>
          <w:sz w:val="24"/>
        </w:rPr>
        <w:footnoteReference w:id="2"/>
      </w:r>
    </w:p>
    <w:p w:rsidR="001306AC" w:rsidRPr="00462F8D" w:rsidRDefault="001306AC" w:rsidP="001306AC">
      <w:pPr>
        <w:tabs>
          <w:tab w:val="left" w:pos="993"/>
        </w:tabs>
        <w:spacing w:before="240" w:after="120"/>
        <w:ind w:left="993" w:hanging="993"/>
        <w:jc w:val="both"/>
        <w:rPr>
          <w:sz w:val="24"/>
        </w:rPr>
      </w:pPr>
    </w:p>
    <w:tbl>
      <w:tblPr>
        <w:tblStyle w:val="TableGrid"/>
        <w:tblW w:w="0" w:type="auto"/>
        <w:tblInd w:w="1134" w:type="dxa"/>
        <w:tblLayout w:type="fixed"/>
        <w:tblLook w:val="04A0"/>
      </w:tblPr>
      <w:tblGrid>
        <w:gridCol w:w="1384"/>
        <w:gridCol w:w="142"/>
        <w:gridCol w:w="1843"/>
        <w:gridCol w:w="1701"/>
        <w:gridCol w:w="4110"/>
      </w:tblGrid>
      <w:tr w:rsidR="001306AC" w:rsidTr="001306AC">
        <w:tc>
          <w:tcPr>
            <w:tcW w:w="1384" w:type="dxa"/>
            <w:tcBorders>
              <w:right w:val="nil"/>
            </w:tcBorders>
          </w:tcPr>
          <w:p w:rsidR="001306AC" w:rsidRPr="00AC0C31" w:rsidRDefault="001306AC" w:rsidP="00A2030E">
            <w:pPr>
              <w:tabs>
                <w:tab w:val="left" w:pos="0"/>
              </w:tabs>
              <w:rPr>
                <w:b/>
                <w:sz w:val="20"/>
                <w:szCs w:val="20"/>
              </w:rPr>
            </w:pPr>
            <w:r w:rsidRPr="00AC0C31">
              <w:rPr>
                <w:b/>
                <w:sz w:val="20"/>
                <w:szCs w:val="20"/>
              </w:rPr>
              <w:t>Table 2:</w:t>
            </w:r>
          </w:p>
        </w:tc>
        <w:tc>
          <w:tcPr>
            <w:tcW w:w="7796" w:type="dxa"/>
            <w:gridSpan w:val="4"/>
            <w:tcBorders>
              <w:left w:val="nil"/>
            </w:tcBorders>
          </w:tcPr>
          <w:p w:rsidR="001306AC" w:rsidRPr="00AC0C31" w:rsidRDefault="001306AC" w:rsidP="00A2030E">
            <w:pPr>
              <w:tabs>
                <w:tab w:val="left" w:pos="1134"/>
              </w:tabs>
              <w:rPr>
                <w:b/>
                <w:sz w:val="20"/>
                <w:szCs w:val="20"/>
              </w:rPr>
            </w:pPr>
            <w:r w:rsidRPr="00AC0C31">
              <w:rPr>
                <w:b/>
                <w:sz w:val="20"/>
                <w:szCs w:val="20"/>
              </w:rPr>
              <w:t xml:space="preserve">Summary of the prevalence of foetal alcohol syndrome among grade-1 learners </w:t>
            </w:r>
          </w:p>
        </w:tc>
      </w:tr>
      <w:tr w:rsidR="001306AC" w:rsidTr="001306AC">
        <w:tc>
          <w:tcPr>
            <w:tcW w:w="1526" w:type="dxa"/>
            <w:gridSpan w:val="2"/>
          </w:tcPr>
          <w:p w:rsidR="001306AC" w:rsidRPr="00AC0C31" w:rsidRDefault="001306AC" w:rsidP="00A2030E">
            <w:pPr>
              <w:tabs>
                <w:tab w:val="left" w:pos="0"/>
              </w:tabs>
              <w:spacing w:line="276" w:lineRule="auto"/>
              <w:jc w:val="center"/>
              <w:rPr>
                <w:b/>
                <w:sz w:val="20"/>
                <w:szCs w:val="20"/>
              </w:rPr>
            </w:pPr>
            <w:r w:rsidRPr="00AC0C31">
              <w:rPr>
                <w:b/>
                <w:sz w:val="20"/>
                <w:szCs w:val="20"/>
              </w:rPr>
              <w:t>PROVINCE</w:t>
            </w:r>
          </w:p>
        </w:tc>
        <w:tc>
          <w:tcPr>
            <w:tcW w:w="1843" w:type="dxa"/>
            <w:tcBorders>
              <w:bottom w:val="single" w:sz="4" w:space="0" w:color="000000" w:themeColor="text1"/>
            </w:tcBorders>
          </w:tcPr>
          <w:p w:rsidR="001306AC" w:rsidRPr="00AC0C31" w:rsidRDefault="001306AC" w:rsidP="00A2030E">
            <w:pPr>
              <w:tabs>
                <w:tab w:val="left" w:pos="0"/>
              </w:tabs>
              <w:spacing w:line="276" w:lineRule="auto"/>
              <w:ind w:left="15"/>
              <w:jc w:val="center"/>
              <w:rPr>
                <w:b/>
                <w:sz w:val="20"/>
                <w:szCs w:val="20"/>
              </w:rPr>
            </w:pPr>
            <w:r w:rsidRPr="00AC0C31">
              <w:rPr>
                <w:b/>
                <w:sz w:val="20"/>
                <w:szCs w:val="20"/>
              </w:rPr>
              <w:t>COMMUNITY</w:t>
            </w:r>
          </w:p>
        </w:tc>
        <w:tc>
          <w:tcPr>
            <w:tcW w:w="1701" w:type="dxa"/>
            <w:tcBorders>
              <w:bottom w:val="single" w:sz="4" w:space="0" w:color="000000" w:themeColor="text1"/>
            </w:tcBorders>
          </w:tcPr>
          <w:p w:rsidR="001306AC" w:rsidRPr="00AC0C31" w:rsidRDefault="001306AC" w:rsidP="00A2030E">
            <w:pPr>
              <w:tabs>
                <w:tab w:val="left" w:pos="1134"/>
              </w:tabs>
              <w:spacing w:line="276" w:lineRule="auto"/>
              <w:jc w:val="center"/>
              <w:rPr>
                <w:b/>
                <w:sz w:val="20"/>
                <w:szCs w:val="20"/>
              </w:rPr>
            </w:pPr>
            <w:r w:rsidRPr="00AC0C31">
              <w:rPr>
                <w:b/>
                <w:sz w:val="20"/>
                <w:szCs w:val="20"/>
              </w:rPr>
              <w:t xml:space="preserve">PREVELANCE RATE AS A PERCENTAGE </w:t>
            </w:r>
          </w:p>
        </w:tc>
        <w:tc>
          <w:tcPr>
            <w:tcW w:w="4110" w:type="dxa"/>
            <w:tcBorders>
              <w:bottom w:val="single" w:sz="4" w:space="0" w:color="000000" w:themeColor="text1"/>
            </w:tcBorders>
          </w:tcPr>
          <w:p w:rsidR="001306AC" w:rsidRPr="00AC0C31" w:rsidRDefault="001306AC" w:rsidP="00A2030E">
            <w:pPr>
              <w:tabs>
                <w:tab w:val="left" w:pos="1134"/>
              </w:tabs>
              <w:spacing w:line="276" w:lineRule="auto"/>
              <w:jc w:val="center"/>
              <w:rPr>
                <w:b/>
                <w:sz w:val="20"/>
                <w:szCs w:val="20"/>
              </w:rPr>
            </w:pPr>
            <w:r w:rsidRPr="00AC0C31">
              <w:rPr>
                <w:b/>
                <w:sz w:val="20"/>
                <w:szCs w:val="20"/>
              </w:rPr>
              <w:t xml:space="preserve">REFERENCE </w:t>
            </w:r>
          </w:p>
        </w:tc>
      </w:tr>
      <w:tr w:rsidR="001306AC" w:rsidTr="001306AC">
        <w:tc>
          <w:tcPr>
            <w:tcW w:w="1526" w:type="dxa"/>
            <w:gridSpan w:val="2"/>
            <w:vMerge w:val="restart"/>
          </w:tcPr>
          <w:p w:rsidR="001306AC" w:rsidRPr="00AC0C31" w:rsidRDefault="001306AC" w:rsidP="00A2030E">
            <w:pPr>
              <w:tabs>
                <w:tab w:val="left" w:pos="1134"/>
              </w:tabs>
              <w:spacing w:line="276" w:lineRule="auto"/>
              <w:jc w:val="both"/>
              <w:rPr>
                <w:sz w:val="20"/>
                <w:szCs w:val="20"/>
              </w:rPr>
            </w:pPr>
            <w:r w:rsidRPr="00AC0C31">
              <w:rPr>
                <w:sz w:val="20"/>
                <w:szCs w:val="20"/>
              </w:rPr>
              <w:t xml:space="preserve">Eastern Cape </w:t>
            </w:r>
          </w:p>
        </w:tc>
        <w:tc>
          <w:tcPr>
            <w:tcW w:w="1843" w:type="dxa"/>
            <w:tcBorders>
              <w:bottom w:val="dashSmallGap" w:sz="4" w:space="0" w:color="auto"/>
            </w:tcBorders>
          </w:tcPr>
          <w:p w:rsidR="001306AC" w:rsidRPr="00AC0C31" w:rsidRDefault="001306AC" w:rsidP="00A2030E">
            <w:pPr>
              <w:tabs>
                <w:tab w:val="left" w:pos="1134"/>
              </w:tabs>
              <w:spacing w:line="276" w:lineRule="auto"/>
              <w:jc w:val="both"/>
              <w:rPr>
                <w:sz w:val="20"/>
                <w:szCs w:val="20"/>
              </w:rPr>
            </w:pPr>
            <w:r w:rsidRPr="00AC0C31">
              <w:rPr>
                <w:sz w:val="20"/>
                <w:szCs w:val="20"/>
              </w:rPr>
              <w:t>Bethelsdorp,</w:t>
            </w:r>
          </w:p>
          <w:p w:rsidR="001306AC" w:rsidRPr="00AC0C31" w:rsidRDefault="001306AC" w:rsidP="00A2030E">
            <w:pPr>
              <w:tabs>
                <w:tab w:val="left" w:pos="1134"/>
              </w:tabs>
              <w:spacing w:line="276" w:lineRule="auto"/>
              <w:jc w:val="both"/>
              <w:rPr>
                <w:sz w:val="20"/>
                <w:szCs w:val="20"/>
              </w:rPr>
            </w:pPr>
            <w:r w:rsidRPr="00AC0C31">
              <w:rPr>
                <w:sz w:val="20"/>
                <w:szCs w:val="20"/>
              </w:rPr>
              <w:t xml:space="preserve">Port Elizabeth </w:t>
            </w:r>
          </w:p>
        </w:tc>
        <w:tc>
          <w:tcPr>
            <w:tcW w:w="1701" w:type="dxa"/>
            <w:tcBorders>
              <w:bottom w:val="dashSmallGap" w:sz="4" w:space="0" w:color="auto"/>
            </w:tcBorders>
          </w:tcPr>
          <w:p w:rsidR="001306AC" w:rsidRPr="00AC0C31" w:rsidRDefault="001306AC" w:rsidP="00A2030E">
            <w:pPr>
              <w:tabs>
                <w:tab w:val="right" w:pos="1104"/>
              </w:tabs>
              <w:spacing w:line="276" w:lineRule="auto"/>
              <w:jc w:val="both"/>
              <w:rPr>
                <w:sz w:val="20"/>
                <w:szCs w:val="20"/>
              </w:rPr>
            </w:pPr>
            <w:r w:rsidRPr="00AC0C31">
              <w:rPr>
                <w:sz w:val="20"/>
                <w:szCs w:val="20"/>
              </w:rPr>
              <w:tab/>
              <w:t>13,0</w:t>
            </w:r>
          </w:p>
        </w:tc>
        <w:tc>
          <w:tcPr>
            <w:tcW w:w="4110" w:type="dxa"/>
            <w:tcBorders>
              <w:bottom w:val="dashSmallGap" w:sz="4" w:space="0" w:color="auto"/>
            </w:tcBorders>
          </w:tcPr>
          <w:p w:rsidR="001306AC" w:rsidRPr="00AC0C31" w:rsidRDefault="001306AC" w:rsidP="00A2030E">
            <w:pPr>
              <w:tabs>
                <w:tab w:val="left" w:pos="1134"/>
              </w:tabs>
              <w:spacing w:line="276" w:lineRule="auto"/>
              <w:jc w:val="both"/>
              <w:rPr>
                <w:sz w:val="20"/>
                <w:szCs w:val="20"/>
              </w:rPr>
            </w:pPr>
            <w:r w:rsidRPr="00AC0C31">
              <w:rPr>
                <w:sz w:val="20"/>
                <w:szCs w:val="20"/>
              </w:rPr>
              <w:t>Olivier, et al., 2017a</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tcBorders>
          </w:tcPr>
          <w:p w:rsidR="001306AC" w:rsidRPr="00AC0C31" w:rsidRDefault="001306AC" w:rsidP="00A2030E">
            <w:pPr>
              <w:tabs>
                <w:tab w:val="left" w:pos="1134"/>
              </w:tabs>
              <w:jc w:val="both"/>
              <w:rPr>
                <w:sz w:val="20"/>
                <w:szCs w:val="20"/>
              </w:rPr>
            </w:pPr>
            <w:r w:rsidRPr="00AC0C31">
              <w:rPr>
                <w:sz w:val="20"/>
                <w:szCs w:val="20"/>
              </w:rPr>
              <w:t>Burgersdorp</w:t>
            </w:r>
          </w:p>
        </w:tc>
        <w:tc>
          <w:tcPr>
            <w:tcW w:w="1701" w:type="dxa"/>
            <w:tcBorders>
              <w:top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6,2</w:t>
            </w:r>
          </w:p>
        </w:tc>
        <w:tc>
          <w:tcPr>
            <w:tcW w:w="4110" w:type="dxa"/>
            <w:tcBorders>
              <w:top w:val="dashSmallGap" w:sz="4" w:space="0" w:color="auto"/>
            </w:tcBorders>
          </w:tcPr>
          <w:p w:rsidR="001306AC" w:rsidRPr="00AC0C31" w:rsidRDefault="001306AC" w:rsidP="00A2030E">
            <w:pPr>
              <w:tabs>
                <w:tab w:val="left" w:pos="1134"/>
              </w:tabs>
              <w:jc w:val="both"/>
              <w:rPr>
                <w:sz w:val="20"/>
                <w:szCs w:val="20"/>
              </w:rPr>
            </w:pPr>
            <w:r w:rsidRPr="00AC0C31">
              <w:rPr>
                <w:sz w:val="20"/>
                <w:szCs w:val="20"/>
              </w:rPr>
              <w:t>Still to be published</w:t>
            </w:r>
          </w:p>
        </w:tc>
      </w:tr>
      <w:tr w:rsidR="001306AC" w:rsidTr="001306AC">
        <w:tc>
          <w:tcPr>
            <w:tcW w:w="1526" w:type="dxa"/>
            <w:gridSpan w:val="2"/>
          </w:tcPr>
          <w:p w:rsidR="001306AC" w:rsidRPr="00AC0C31" w:rsidRDefault="001306AC" w:rsidP="00A2030E">
            <w:pPr>
              <w:tabs>
                <w:tab w:val="left" w:pos="1134"/>
              </w:tabs>
              <w:jc w:val="both"/>
              <w:rPr>
                <w:sz w:val="20"/>
                <w:szCs w:val="20"/>
              </w:rPr>
            </w:pPr>
            <w:r w:rsidRPr="00AC0C31">
              <w:rPr>
                <w:sz w:val="20"/>
                <w:szCs w:val="20"/>
              </w:rPr>
              <w:t xml:space="preserve">Free State </w:t>
            </w:r>
          </w:p>
        </w:tc>
        <w:tc>
          <w:tcPr>
            <w:tcW w:w="1843" w:type="dxa"/>
          </w:tcPr>
          <w:p w:rsidR="001306AC" w:rsidRPr="00AC0C31" w:rsidRDefault="001306AC" w:rsidP="00A2030E">
            <w:pPr>
              <w:tabs>
                <w:tab w:val="left" w:pos="1134"/>
              </w:tabs>
              <w:jc w:val="both"/>
              <w:rPr>
                <w:sz w:val="20"/>
                <w:szCs w:val="20"/>
              </w:rPr>
            </w:pPr>
            <w:r w:rsidRPr="00AC0C31">
              <w:rPr>
                <w:sz w:val="20"/>
                <w:szCs w:val="20"/>
              </w:rPr>
              <w:t xml:space="preserve">Jacobsdal </w:t>
            </w:r>
          </w:p>
        </w:tc>
        <w:tc>
          <w:tcPr>
            <w:tcW w:w="1701" w:type="dxa"/>
          </w:tcPr>
          <w:p w:rsidR="001306AC" w:rsidRPr="00AC0C31" w:rsidRDefault="001306AC" w:rsidP="00A2030E">
            <w:pPr>
              <w:tabs>
                <w:tab w:val="right" w:pos="1104"/>
              </w:tabs>
              <w:jc w:val="both"/>
              <w:rPr>
                <w:sz w:val="20"/>
                <w:szCs w:val="20"/>
              </w:rPr>
            </w:pPr>
            <w:r w:rsidRPr="00AC0C31">
              <w:rPr>
                <w:sz w:val="20"/>
                <w:szCs w:val="20"/>
              </w:rPr>
              <w:tab/>
              <w:t>12,9</w:t>
            </w:r>
          </w:p>
        </w:tc>
        <w:tc>
          <w:tcPr>
            <w:tcW w:w="4110" w:type="dxa"/>
          </w:tcPr>
          <w:p w:rsidR="001306AC" w:rsidRPr="00AC0C31" w:rsidRDefault="001306AC" w:rsidP="00A2030E">
            <w:pPr>
              <w:tabs>
                <w:tab w:val="left" w:pos="1134"/>
              </w:tabs>
              <w:jc w:val="both"/>
              <w:rPr>
                <w:sz w:val="20"/>
                <w:szCs w:val="20"/>
              </w:rPr>
            </w:pPr>
            <w:r w:rsidRPr="00AC0C31">
              <w:rPr>
                <w:sz w:val="20"/>
                <w:szCs w:val="20"/>
              </w:rPr>
              <w:t xml:space="preserve">Still to be published </w:t>
            </w:r>
          </w:p>
        </w:tc>
      </w:tr>
      <w:tr w:rsidR="001306AC" w:rsidTr="001306AC">
        <w:tc>
          <w:tcPr>
            <w:tcW w:w="1526" w:type="dxa"/>
            <w:gridSpan w:val="2"/>
          </w:tcPr>
          <w:p w:rsidR="001306AC" w:rsidRPr="00AC0C31" w:rsidRDefault="001306AC" w:rsidP="00A2030E">
            <w:pPr>
              <w:tabs>
                <w:tab w:val="left" w:pos="1134"/>
              </w:tabs>
              <w:jc w:val="both"/>
              <w:rPr>
                <w:sz w:val="20"/>
                <w:szCs w:val="20"/>
              </w:rPr>
            </w:pPr>
            <w:r w:rsidRPr="00AC0C31">
              <w:rPr>
                <w:sz w:val="20"/>
                <w:szCs w:val="20"/>
              </w:rPr>
              <w:t xml:space="preserve">Gauteng </w:t>
            </w:r>
          </w:p>
        </w:tc>
        <w:tc>
          <w:tcPr>
            <w:tcW w:w="1843" w:type="dxa"/>
            <w:tcBorders>
              <w:bottom w:val="single" w:sz="4" w:space="0" w:color="000000" w:themeColor="text1"/>
            </w:tcBorders>
          </w:tcPr>
          <w:p w:rsidR="001306AC" w:rsidRPr="00AC0C31" w:rsidRDefault="001306AC" w:rsidP="00A2030E">
            <w:pPr>
              <w:tabs>
                <w:tab w:val="left" w:pos="1134"/>
              </w:tabs>
              <w:jc w:val="both"/>
              <w:rPr>
                <w:sz w:val="20"/>
                <w:szCs w:val="20"/>
              </w:rPr>
            </w:pPr>
            <w:r w:rsidRPr="00AC0C31">
              <w:rPr>
                <w:sz w:val="20"/>
                <w:szCs w:val="20"/>
              </w:rPr>
              <w:t xml:space="preserve">Soweto, </w:t>
            </w:r>
          </w:p>
          <w:p w:rsidR="001306AC" w:rsidRPr="00AC0C31" w:rsidRDefault="001306AC" w:rsidP="00A2030E">
            <w:pPr>
              <w:tabs>
                <w:tab w:val="left" w:pos="1134"/>
              </w:tabs>
              <w:jc w:val="both"/>
              <w:rPr>
                <w:sz w:val="20"/>
                <w:szCs w:val="20"/>
              </w:rPr>
            </w:pPr>
            <w:r w:rsidRPr="00AC0C31">
              <w:rPr>
                <w:sz w:val="20"/>
                <w:szCs w:val="20"/>
              </w:rPr>
              <w:t>Diepsloot,</w:t>
            </w:r>
          </w:p>
          <w:p w:rsidR="001306AC" w:rsidRPr="00AC0C31" w:rsidRDefault="001306AC" w:rsidP="00A2030E">
            <w:pPr>
              <w:tabs>
                <w:tab w:val="left" w:pos="1134"/>
              </w:tabs>
              <w:jc w:val="both"/>
              <w:rPr>
                <w:sz w:val="20"/>
                <w:szCs w:val="20"/>
              </w:rPr>
            </w:pPr>
            <w:r w:rsidRPr="00AC0C31">
              <w:rPr>
                <w:sz w:val="20"/>
                <w:szCs w:val="20"/>
              </w:rPr>
              <w:t xml:space="preserve">Lenasia </w:t>
            </w:r>
          </w:p>
        </w:tc>
        <w:tc>
          <w:tcPr>
            <w:tcW w:w="1701" w:type="dxa"/>
            <w:tcBorders>
              <w:bottom w:val="single" w:sz="4" w:space="0" w:color="000000" w:themeColor="text1"/>
            </w:tcBorders>
          </w:tcPr>
          <w:p w:rsidR="001306AC" w:rsidRPr="00AC0C31" w:rsidRDefault="001306AC" w:rsidP="00A2030E">
            <w:pPr>
              <w:tabs>
                <w:tab w:val="right" w:pos="1104"/>
              </w:tabs>
              <w:jc w:val="both"/>
              <w:rPr>
                <w:sz w:val="20"/>
                <w:szCs w:val="20"/>
              </w:rPr>
            </w:pPr>
            <w:r w:rsidRPr="00AC0C31">
              <w:rPr>
                <w:sz w:val="20"/>
                <w:szCs w:val="20"/>
              </w:rPr>
              <w:tab/>
              <w:t>2,6</w:t>
            </w:r>
          </w:p>
        </w:tc>
        <w:tc>
          <w:tcPr>
            <w:tcW w:w="4110" w:type="dxa"/>
            <w:tcBorders>
              <w:bottom w:val="single" w:sz="4" w:space="0" w:color="000000" w:themeColor="text1"/>
            </w:tcBorders>
          </w:tcPr>
          <w:p w:rsidR="001306AC" w:rsidRPr="00AC0C31" w:rsidRDefault="001306AC" w:rsidP="00A2030E">
            <w:pPr>
              <w:tabs>
                <w:tab w:val="left" w:pos="1134"/>
              </w:tabs>
              <w:jc w:val="both"/>
              <w:rPr>
                <w:sz w:val="20"/>
                <w:szCs w:val="20"/>
              </w:rPr>
            </w:pPr>
            <w:r w:rsidRPr="00AC0C31">
              <w:rPr>
                <w:sz w:val="20"/>
                <w:szCs w:val="20"/>
              </w:rPr>
              <w:t>Viljoen, 2001</w:t>
            </w:r>
          </w:p>
        </w:tc>
      </w:tr>
      <w:tr w:rsidR="001306AC" w:rsidTr="001306AC">
        <w:tc>
          <w:tcPr>
            <w:tcW w:w="1526" w:type="dxa"/>
            <w:gridSpan w:val="2"/>
            <w:vMerge w:val="restart"/>
          </w:tcPr>
          <w:p w:rsidR="001306AC" w:rsidRPr="00AC0C31" w:rsidRDefault="001306AC" w:rsidP="00A2030E">
            <w:pPr>
              <w:tabs>
                <w:tab w:val="left" w:pos="1134"/>
              </w:tabs>
              <w:jc w:val="both"/>
              <w:rPr>
                <w:sz w:val="20"/>
                <w:szCs w:val="20"/>
              </w:rPr>
            </w:pPr>
            <w:r w:rsidRPr="00AC0C31">
              <w:rPr>
                <w:sz w:val="20"/>
                <w:szCs w:val="20"/>
              </w:rPr>
              <w:t xml:space="preserve">Northern Cape </w:t>
            </w:r>
          </w:p>
        </w:tc>
        <w:tc>
          <w:tcPr>
            <w:tcW w:w="1843" w:type="dxa"/>
            <w:tcBorders>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 xml:space="preserve">De Aar </w:t>
            </w:r>
          </w:p>
        </w:tc>
        <w:tc>
          <w:tcPr>
            <w:tcW w:w="1701" w:type="dxa"/>
            <w:tcBorders>
              <w:bottom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11,9</w:t>
            </w:r>
          </w:p>
        </w:tc>
        <w:tc>
          <w:tcPr>
            <w:tcW w:w="4110" w:type="dxa"/>
            <w:tcBorders>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Urban et al., 2008</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 xml:space="preserve">Upington </w:t>
            </w:r>
          </w:p>
        </w:tc>
        <w:tc>
          <w:tcPr>
            <w:tcW w:w="1701" w:type="dxa"/>
            <w:tcBorders>
              <w:top w:val="dashSmallGap" w:sz="4" w:space="0" w:color="auto"/>
              <w:bottom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7,4</w:t>
            </w:r>
          </w:p>
        </w:tc>
        <w:tc>
          <w:tcPr>
            <w:tcW w:w="4110" w:type="dxa"/>
            <w:tcBorders>
              <w:top w:val="dashSmallGap" w:sz="4" w:space="0" w:color="auto"/>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Chersich et al., 2012b</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 xml:space="preserve">Kimberley </w:t>
            </w:r>
          </w:p>
        </w:tc>
        <w:tc>
          <w:tcPr>
            <w:tcW w:w="1701" w:type="dxa"/>
            <w:tcBorders>
              <w:top w:val="dashSmallGap" w:sz="4" w:space="0" w:color="auto"/>
              <w:bottom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6,4</w:t>
            </w:r>
          </w:p>
        </w:tc>
        <w:tc>
          <w:tcPr>
            <w:tcW w:w="4110" w:type="dxa"/>
            <w:tcBorders>
              <w:top w:val="dashSmallGap" w:sz="4" w:space="0" w:color="auto"/>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Urban et al., 2015</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 xml:space="preserve">Renosterberg Municipality </w:t>
            </w:r>
          </w:p>
        </w:tc>
        <w:tc>
          <w:tcPr>
            <w:tcW w:w="1701" w:type="dxa"/>
            <w:tcBorders>
              <w:top w:val="dashSmallGap" w:sz="4" w:space="0" w:color="auto"/>
              <w:bottom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28,2</w:t>
            </w:r>
          </w:p>
        </w:tc>
        <w:tc>
          <w:tcPr>
            <w:tcW w:w="4110" w:type="dxa"/>
            <w:tcBorders>
              <w:top w:val="dashSmallGap" w:sz="4" w:space="0" w:color="auto"/>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Olivier et al., 2017b</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bottom w:val="single" w:sz="4" w:space="0" w:color="000000" w:themeColor="text1"/>
            </w:tcBorders>
          </w:tcPr>
          <w:p w:rsidR="001306AC" w:rsidRPr="00AC0C31" w:rsidRDefault="001306AC" w:rsidP="00A2030E">
            <w:pPr>
              <w:tabs>
                <w:tab w:val="left" w:pos="1134"/>
              </w:tabs>
              <w:jc w:val="both"/>
              <w:rPr>
                <w:sz w:val="20"/>
                <w:szCs w:val="20"/>
              </w:rPr>
            </w:pPr>
            <w:r w:rsidRPr="00AC0C31">
              <w:rPr>
                <w:sz w:val="20"/>
                <w:szCs w:val="20"/>
              </w:rPr>
              <w:t xml:space="preserve">Hanover </w:t>
            </w:r>
          </w:p>
        </w:tc>
        <w:tc>
          <w:tcPr>
            <w:tcW w:w="1701" w:type="dxa"/>
            <w:tcBorders>
              <w:top w:val="dashSmallGap" w:sz="4" w:space="0" w:color="auto"/>
              <w:bottom w:val="single" w:sz="4" w:space="0" w:color="000000" w:themeColor="text1"/>
            </w:tcBorders>
          </w:tcPr>
          <w:p w:rsidR="001306AC" w:rsidRPr="00AC0C31" w:rsidRDefault="001306AC" w:rsidP="00A2030E">
            <w:pPr>
              <w:tabs>
                <w:tab w:val="right" w:pos="1104"/>
              </w:tabs>
              <w:jc w:val="both"/>
              <w:rPr>
                <w:sz w:val="20"/>
                <w:szCs w:val="20"/>
              </w:rPr>
            </w:pPr>
            <w:r w:rsidRPr="00AC0C31">
              <w:rPr>
                <w:sz w:val="20"/>
                <w:szCs w:val="20"/>
              </w:rPr>
              <w:tab/>
              <w:t>20,8</w:t>
            </w:r>
          </w:p>
        </w:tc>
        <w:tc>
          <w:tcPr>
            <w:tcW w:w="4110" w:type="dxa"/>
            <w:tcBorders>
              <w:top w:val="dashSmallGap" w:sz="4" w:space="0" w:color="auto"/>
              <w:bottom w:val="single" w:sz="4" w:space="0" w:color="000000" w:themeColor="text1"/>
            </w:tcBorders>
          </w:tcPr>
          <w:p w:rsidR="001306AC" w:rsidRPr="00AC0C31" w:rsidRDefault="001306AC" w:rsidP="00A2030E">
            <w:pPr>
              <w:tabs>
                <w:tab w:val="left" w:pos="1134"/>
              </w:tabs>
              <w:jc w:val="both"/>
              <w:rPr>
                <w:sz w:val="20"/>
                <w:szCs w:val="20"/>
              </w:rPr>
            </w:pPr>
            <w:r w:rsidRPr="00AC0C31">
              <w:rPr>
                <w:sz w:val="20"/>
                <w:szCs w:val="20"/>
              </w:rPr>
              <w:t xml:space="preserve">Still to be published </w:t>
            </w:r>
          </w:p>
        </w:tc>
      </w:tr>
      <w:tr w:rsidR="001306AC" w:rsidTr="001306AC">
        <w:tc>
          <w:tcPr>
            <w:tcW w:w="1526" w:type="dxa"/>
            <w:gridSpan w:val="2"/>
            <w:vMerge w:val="restart"/>
          </w:tcPr>
          <w:p w:rsidR="001306AC" w:rsidRPr="00AC0C31" w:rsidRDefault="001306AC" w:rsidP="00A2030E">
            <w:pPr>
              <w:tabs>
                <w:tab w:val="left" w:pos="1134"/>
              </w:tabs>
              <w:jc w:val="both"/>
              <w:rPr>
                <w:sz w:val="20"/>
                <w:szCs w:val="20"/>
              </w:rPr>
            </w:pPr>
            <w:r w:rsidRPr="00AC0C31">
              <w:rPr>
                <w:sz w:val="20"/>
                <w:szCs w:val="20"/>
              </w:rPr>
              <w:t xml:space="preserve">Western Cape </w:t>
            </w:r>
          </w:p>
        </w:tc>
        <w:tc>
          <w:tcPr>
            <w:tcW w:w="1843" w:type="dxa"/>
            <w:tcBorders>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 xml:space="preserve">Wellington </w:t>
            </w:r>
          </w:p>
        </w:tc>
        <w:tc>
          <w:tcPr>
            <w:tcW w:w="1701" w:type="dxa"/>
            <w:tcBorders>
              <w:bottom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8,9</w:t>
            </w:r>
          </w:p>
        </w:tc>
        <w:tc>
          <w:tcPr>
            <w:tcW w:w="4110" w:type="dxa"/>
            <w:tcBorders>
              <w:bottom w:val="dashSmallGap" w:sz="4" w:space="0" w:color="auto"/>
            </w:tcBorders>
          </w:tcPr>
          <w:p w:rsidR="001306AC" w:rsidRPr="00AC0C31" w:rsidRDefault="001306AC" w:rsidP="00A2030E">
            <w:pPr>
              <w:tabs>
                <w:tab w:val="left" w:pos="1134"/>
              </w:tabs>
              <w:rPr>
                <w:sz w:val="20"/>
                <w:szCs w:val="20"/>
              </w:rPr>
            </w:pPr>
            <w:r w:rsidRPr="00AC0C31">
              <w:rPr>
                <w:sz w:val="20"/>
                <w:szCs w:val="20"/>
              </w:rPr>
              <w:t>Viljoen, Gossage, Brooke, Adnams, Jones, Robinson ... &amp; May, 2005</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bottom w:val="dashSmallGap" w:sz="4" w:space="0" w:color="auto"/>
            </w:tcBorders>
          </w:tcPr>
          <w:p w:rsidR="001306AC" w:rsidRPr="00AC0C31" w:rsidRDefault="001306AC" w:rsidP="00A2030E">
            <w:pPr>
              <w:tabs>
                <w:tab w:val="left" w:pos="1134"/>
              </w:tabs>
              <w:jc w:val="both"/>
              <w:rPr>
                <w:sz w:val="20"/>
                <w:szCs w:val="20"/>
              </w:rPr>
            </w:pPr>
            <w:r w:rsidRPr="00AC0C31">
              <w:rPr>
                <w:sz w:val="20"/>
                <w:szCs w:val="20"/>
              </w:rPr>
              <w:t xml:space="preserve">Aurora </w:t>
            </w:r>
          </w:p>
        </w:tc>
        <w:tc>
          <w:tcPr>
            <w:tcW w:w="1701" w:type="dxa"/>
            <w:tcBorders>
              <w:top w:val="dashSmallGap" w:sz="4" w:space="0" w:color="auto"/>
              <w:bottom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10,0</w:t>
            </w:r>
          </w:p>
        </w:tc>
        <w:tc>
          <w:tcPr>
            <w:tcW w:w="4110" w:type="dxa"/>
            <w:tcBorders>
              <w:top w:val="dashSmallGap" w:sz="4" w:space="0" w:color="auto"/>
              <w:bottom w:val="dashSmallGap" w:sz="4" w:space="0" w:color="auto"/>
            </w:tcBorders>
          </w:tcPr>
          <w:p w:rsidR="001306AC" w:rsidRPr="00AC0C31" w:rsidRDefault="001306AC" w:rsidP="00A2030E">
            <w:pPr>
              <w:tabs>
                <w:tab w:val="left" w:pos="1134"/>
              </w:tabs>
              <w:rPr>
                <w:sz w:val="20"/>
                <w:szCs w:val="20"/>
              </w:rPr>
            </w:pPr>
            <w:r w:rsidRPr="00AC0C31">
              <w:rPr>
                <w:sz w:val="20"/>
                <w:szCs w:val="20"/>
              </w:rPr>
              <w:t>Olivier et al., 2013</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bottom w:val="dashSmallGap" w:sz="4" w:space="0" w:color="auto"/>
            </w:tcBorders>
          </w:tcPr>
          <w:p w:rsidR="001306AC" w:rsidRPr="00AC0C31" w:rsidRDefault="001306AC" w:rsidP="00A2030E">
            <w:pPr>
              <w:tabs>
                <w:tab w:val="left" w:pos="1134"/>
              </w:tabs>
              <w:rPr>
                <w:sz w:val="20"/>
                <w:szCs w:val="20"/>
              </w:rPr>
            </w:pPr>
            <w:r w:rsidRPr="00AC0C31">
              <w:rPr>
                <w:sz w:val="20"/>
                <w:szCs w:val="20"/>
              </w:rPr>
              <w:t xml:space="preserve">Witzenberg Sub-district </w:t>
            </w:r>
          </w:p>
        </w:tc>
        <w:tc>
          <w:tcPr>
            <w:tcW w:w="1701" w:type="dxa"/>
            <w:tcBorders>
              <w:top w:val="dashSmallGap" w:sz="4" w:space="0" w:color="auto"/>
              <w:bottom w:val="dashSmallGap" w:sz="4" w:space="0" w:color="auto"/>
            </w:tcBorders>
          </w:tcPr>
          <w:p w:rsidR="001306AC" w:rsidRPr="00AC0C31" w:rsidRDefault="001306AC" w:rsidP="00A2030E">
            <w:pPr>
              <w:tabs>
                <w:tab w:val="right" w:pos="1104"/>
              </w:tabs>
              <w:jc w:val="both"/>
              <w:rPr>
                <w:sz w:val="20"/>
                <w:szCs w:val="20"/>
              </w:rPr>
            </w:pPr>
            <w:r w:rsidRPr="00AC0C31">
              <w:rPr>
                <w:sz w:val="20"/>
                <w:szCs w:val="20"/>
              </w:rPr>
              <w:tab/>
              <w:t>9,6</w:t>
            </w:r>
          </w:p>
        </w:tc>
        <w:tc>
          <w:tcPr>
            <w:tcW w:w="4110" w:type="dxa"/>
            <w:tcBorders>
              <w:top w:val="dashSmallGap" w:sz="4" w:space="0" w:color="auto"/>
              <w:bottom w:val="dashSmallGap" w:sz="4" w:space="0" w:color="auto"/>
            </w:tcBorders>
          </w:tcPr>
          <w:p w:rsidR="001306AC" w:rsidRPr="00AC0C31" w:rsidRDefault="001306AC" w:rsidP="00A2030E">
            <w:pPr>
              <w:tabs>
                <w:tab w:val="left" w:pos="1134"/>
              </w:tabs>
              <w:rPr>
                <w:sz w:val="20"/>
                <w:szCs w:val="20"/>
              </w:rPr>
            </w:pPr>
            <w:r w:rsidRPr="00AC0C31">
              <w:rPr>
                <w:sz w:val="20"/>
                <w:szCs w:val="20"/>
              </w:rPr>
              <w:t>Olivier et al., 2016</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bottom w:val="dashSmallGap" w:sz="4" w:space="0" w:color="auto"/>
            </w:tcBorders>
          </w:tcPr>
          <w:p w:rsidR="001306AC" w:rsidRPr="00AC0C31" w:rsidRDefault="001306AC" w:rsidP="00A2030E">
            <w:pPr>
              <w:tabs>
                <w:tab w:val="left" w:pos="1134"/>
              </w:tabs>
              <w:rPr>
                <w:sz w:val="20"/>
                <w:szCs w:val="20"/>
              </w:rPr>
            </w:pPr>
            <w:r>
              <w:rPr>
                <w:sz w:val="20"/>
                <w:szCs w:val="20"/>
              </w:rPr>
              <w:t xml:space="preserve">Saldanha Bay Municipality </w:t>
            </w:r>
          </w:p>
        </w:tc>
        <w:tc>
          <w:tcPr>
            <w:tcW w:w="1701" w:type="dxa"/>
            <w:tcBorders>
              <w:top w:val="dashSmallGap" w:sz="4" w:space="0" w:color="auto"/>
              <w:bottom w:val="dashSmallGap" w:sz="4" w:space="0" w:color="auto"/>
            </w:tcBorders>
          </w:tcPr>
          <w:p w:rsidR="001306AC" w:rsidRPr="00AC0C31" w:rsidRDefault="001306AC" w:rsidP="00A2030E">
            <w:pPr>
              <w:tabs>
                <w:tab w:val="right" w:pos="1104"/>
              </w:tabs>
              <w:jc w:val="both"/>
              <w:rPr>
                <w:sz w:val="20"/>
                <w:szCs w:val="20"/>
              </w:rPr>
            </w:pPr>
            <w:r>
              <w:rPr>
                <w:sz w:val="20"/>
                <w:szCs w:val="20"/>
              </w:rPr>
              <w:tab/>
              <w:t>6,7</w:t>
            </w:r>
          </w:p>
        </w:tc>
        <w:tc>
          <w:tcPr>
            <w:tcW w:w="4110" w:type="dxa"/>
            <w:tcBorders>
              <w:top w:val="dashSmallGap" w:sz="4" w:space="0" w:color="auto"/>
              <w:bottom w:val="dashSmallGap" w:sz="4" w:space="0" w:color="auto"/>
            </w:tcBorders>
          </w:tcPr>
          <w:p w:rsidR="001306AC" w:rsidRPr="00AC0C31" w:rsidRDefault="001306AC" w:rsidP="00A2030E">
            <w:pPr>
              <w:tabs>
                <w:tab w:val="left" w:pos="1134"/>
              </w:tabs>
              <w:rPr>
                <w:sz w:val="20"/>
                <w:szCs w:val="20"/>
              </w:rPr>
            </w:pPr>
            <w:r>
              <w:rPr>
                <w:sz w:val="20"/>
                <w:szCs w:val="20"/>
              </w:rPr>
              <w:t>Olivier et al., 2016</w:t>
            </w:r>
          </w:p>
        </w:tc>
      </w:tr>
      <w:tr w:rsidR="001306AC" w:rsidTr="001306AC">
        <w:tc>
          <w:tcPr>
            <w:tcW w:w="1526" w:type="dxa"/>
            <w:gridSpan w:val="2"/>
            <w:vMerge/>
          </w:tcPr>
          <w:p w:rsidR="001306AC" w:rsidRPr="00AC0C31" w:rsidRDefault="001306AC" w:rsidP="00A2030E">
            <w:pPr>
              <w:tabs>
                <w:tab w:val="left" w:pos="1134"/>
              </w:tabs>
              <w:jc w:val="both"/>
              <w:rPr>
                <w:sz w:val="20"/>
                <w:szCs w:val="20"/>
              </w:rPr>
            </w:pPr>
          </w:p>
        </w:tc>
        <w:tc>
          <w:tcPr>
            <w:tcW w:w="1843" w:type="dxa"/>
            <w:tcBorders>
              <w:top w:val="dashSmallGap" w:sz="4" w:space="0" w:color="auto"/>
            </w:tcBorders>
          </w:tcPr>
          <w:p w:rsidR="001306AC" w:rsidRDefault="001306AC" w:rsidP="00A2030E">
            <w:pPr>
              <w:tabs>
                <w:tab w:val="left" w:pos="1134"/>
              </w:tabs>
              <w:rPr>
                <w:sz w:val="20"/>
                <w:szCs w:val="20"/>
              </w:rPr>
            </w:pPr>
            <w:r>
              <w:rPr>
                <w:sz w:val="20"/>
                <w:szCs w:val="20"/>
              </w:rPr>
              <w:t>Wellington,</w:t>
            </w:r>
          </w:p>
          <w:p w:rsidR="001306AC" w:rsidRDefault="001306AC" w:rsidP="00A2030E">
            <w:pPr>
              <w:tabs>
                <w:tab w:val="left" w:pos="1134"/>
              </w:tabs>
              <w:rPr>
                <w:sz w:val="20"/>
                <w:szCs w:val="20"/>
              </w:rPr>
            </w:pPr>
            <w:r>
              <w:rPr>
                <w:sz w:val="20"/>
                <w:szCs w:val="20"/>
              </w:rPr>
              <w:t>Montague,</w:t>
            </w:r>
          </w:p>
          <w:p w:rsidR="001306AC" w:rsidRDefault="001306AC" w:rsidP="00A2030E">
            <w:pPr>
              <w:tabs>
                <w:tab w:val="left" w:pos="1134"/>
              </w:tabs>
              <w:rPr>
                <w:sz w:val="20"/>
                <w:szCs w:val="20"/>
              </w:rPr>
            </w:pPr>
            <w:r>
              <w:rPr>
                <w:sz w:val="20"/>
                <w:szCs w:val="20"/>
              </w:rPr>
              <w:t>Ashton,</w:t>
            </w:r>
          </w:p>
          <w:p w:rsidR="001306AC" w:rsidRDefault="001306AC" w:rsidP="00A2030E">
            <w:pPr>
              <w:tabs>
                <w:tab w:val="left" w:pos="1134"/>
              </w:tabs>
              <w:rPr>
                <w:sz w:val="20"/>
                <w:szCs w:val="20"/>
              </w:rPr>
            </w:pPr>
            <w:r>
              <w:rPr>
                <w:sz w:val="20"/>
                <w:szCs w:val="20"/>
              </w:rPr>
              <w:t xml:space="preserve">Robertson </w:t>
            </w:r>
          </w:p>
        </w:tc>
        <w:tc>
          <w:tcPr>
            <w:tcW w:w="1701" w:type="dxa"/>
            <w:tcBorders>
              <w:top w:val="dashSmallGap" w:sz="4" w:space="0" w:color="auto"/>
            </w:tcBorders>
          </w:tcPr>
          <w:p w:rsidR="001306AC" w:rsidRDefault="001306AC" w:rsidP="00A2030E">
            <w:pPr>
              <w:tabs>
                <w:tab w:val="right" w:pos="1104"/>
              </w:tabs>
              <w:jc w:val="both"/>
              <w:rPr>
                <w:sz w:val="20"/>
                <w:szCs w:val="20"/>
              </w:rPr>
            </w:pPr>
            <w:r>
              <w:rPr>
                <w:sz w:val="20"/>
                <w:szCs w:val="20"/>
              </w:rPr>
              <w:tab/>
              <w:t>13,5 - 20,8</w:t>
            </w:r>
          </w:p>
        </w:tc>
        <w:tc>
          <w:tcPr>
            <w:tcW w:w="4110" w:type="dxa"/>
            <w:tcBorders>
              <w:top w:val="dashSmallGap" w:sz="4" w:space="0" w:color="auto"/>
            </w:tcBorders>
          </w:tcPr>
          <w:p w:rsidR="001306AC" w:rsidRDefault="001306AC" w:rsidP="00A2030E">
            <w:pPr>
              <w:tabs>
                <w:tab w:val="left" w:pos="1134"/>
              </w:tabs>
              <w:rPr>
                <w:sz w:val="20"/>
                <w:szCs w:val="20"/>
              </w:rPr>
            </w:pPr>
            <w:r>
              <w:rPr>
                <w:sz w:val="20"/>
                <w:szCs w:val="20"/>
              </w:rPr>
              <w:t>May et al., 2016</w:t>
            </w:r>
          </w:p>
        </w:tc>
      </w:tr>
    </w:tbl>
    <w:p w:rsidR="001306AC" w:rsidRDefault="001306AC" w:rsidP="001306AC">
      <w:pPr>
        <w:tabs>
          <w:tab w:val="left" w:pos="0"/>
        </w:tabs>
        <w:spacing w:line="360" w:lineRule="auto"/>
        <w:jc w:val="both"/>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7E" w:rsidRDefault="00F1587E">
      <w:r>
        <w:separator/>
      </w:r>
    </w:p>
  </w:endnote>
  <w:endnote w:type="continuationSeparator" w:id="1">
    <w:p w:rsidR="00F1587E" w:rsidRDefault="00F15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71C4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71C4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06A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7E" w:rsidRDefault="00F1587E">
      <w:r>
        <w:separator/>
      </w:r>
    </w:p>
  </w:footnote>
  <w:footnote w:type="continuationSeparator" w:id="1">
    <w:p w:rsidR="00F1587E" w:rsidRDefault="00F1587E">
      <w:r>
        <w:continuationSeparator/>
      </w:r>
    </w:p>
  </w:footnote>
  <w:footnote w:id="2">
    <w:p w:rsidR="001306AC" w:rsidRDefault="001306AC" w:rsidP="001306AC">
      <w:pPr>
        <w:pStyle w:val="FootnoteText"/>
        <w:ind w:left="284" w:hanging="284"/>
        <w:rPr>
          <w:lang w:val="en-ZA"/>
        </w:rPr>
      </w:pPr>
      <w:r>
        <w:rPr>
          <w:rStyle w:val="FootnoteReference"/>
        </w:rPr>
        <w:footnoteRef/>
      </w:r>
      <w:r>
        <w:t xml:space="preserve"> </w:t>
      </w:r>
      <w:r>
        <w:rPr>
          <w:lang w:val="en-ZA"/>
        </w:rPr>
        <w:tab/>
        <w:t>Probst, C, Parry C, Wittchen H, Rehm J.  The socioeconomic profile of alcohol-attributable mortality in South Africa:  a modelling study.  BMC Medicine.  2018;  16:97</w:t>
      </w:r>
    </w:p>
    <w:p w:rsidR="001306AC" w:rsidRPr="00462F8D" w:rsidRDefault="001306AC" w:rsidP="001306AC">
      <w:pPr>
        <w:pStyle w:val="FootnoteText"/>
        <w:ind w:left="284" w:hanging="284"/>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06AC"/>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C4A"/>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9AD"/>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1587E"/>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E28B9"/>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FootnoteText">
    <w:name w:val="footnote text"/>
    <w:basedOn w:val="Normal"/>
    <w:link w:val="FootnoteTextChar"/>
    <w:uiPriority w:val="99"/>
    <w:unhideWhenUsed/>
    <w:rsid w:val="001306A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306AC"/>
    <w:rPr>
      <w:rFonts w:asciiTheme="minorHAnsi" w:eastAsiaTheme="minorHAnsi" w:hAnsiTheme="minorHAnsi" w:cstheme="minorBidi"/>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2018-03-29T12:23:00Z</cp:lastPrinted>
  <dcterms:created xsi:type="dcterms:W3CDTF">2019-07-07T18:42:00Z</dcterms:created>
  <dcterms:modified xsi:type="dcterms:W3CDTF">2019-07-07T19:24:00Z</dcterms:modified>
</cp:coreProperties>
</file>