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03" w:rsidRDefault="00B15D03" w:rsidP="004F5213">
      <w:pPr>
        <w:tabs>
          <w:tab w:val="right" w:pos="7548"/>
        </w:tabs>
        <w:ind w:left="-1276"/>
        <w:jc w:val="both"/>
        <w:rPr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C732BB">
        <w:rPr>
          <w:rFonts w:cs="Arial"/>
          <w:sz w:val="22"/>
          <w:szCs w:val="22"/>
          <w:u w:val="none"/>
          <w:lang w:val="en-ZA"/>
        </w:rPr>
        <w:t>593</w:t>
      </w:r>
    </w:p>
    <w:p w:rsidR="00F91225" w:rsidRDefault="00F91225" w:rsidP="00F91225">
      <w:pPr>
        <w:rPr>
          <w:lang w:val="en-ZA" w:eastAsia="x-none"/>
        </w:rPr>
      </w:pPr>
    </w:p>
    <w:p w:rsidR="00C732BB" w:rsidRPr="00C732BB" w:rsidRDefault="00C732BB" w:rsidP="00C732BB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proofErr w:type="gramStart"/>
      <w:r w:rsidRPr="00C732BB">
        <w:rPr>
          <w:rFonts w:ascii="Arial" w:hAnsi="Arial" w:cs="Arial"/>
          <w:b/>
        </w:rPr>
        <w:t>3593.</w:t>
      </w:r>
      <w:r w:rsidRPr="00C732BB">
        <w:rPr>
          <w:rFonts w:ascii="Arial" w:hAnsi="Arial" w:cs="Arial"/>
          <w:b/>
        </w:rPr>
        <w:tab/>
      </w:r>
      <w:proofErr w:type="spellStart"/>
      <w:r w:rsidRPr="00C732BB">
        <w:rPr>
          <w:rFonts w:ascii="Arial" w:hAnsi="Arial" w:cs="Arial"/>
          <w:b/>
        </w:rPr>
        <w:t>Mr</w:t>
      </w:r>
      <w:proofErr w:type="spellEnd"/>
      <w:r w:rsidRPr="00C732BB">
        <w:rPr>
          <w:rFonts w:ascii="Arial" w:hAnsi="Arial" w:cs="Arial"/>
          <w:b/>
        </w:rPr>
        <w:t xml:space="preserve"> A R </w:t>
      </w:r>
      <w:proofErr w:type="spellStart"/>
      <w:r w:rsidRPr="00C732BB">
        <w:rPr>
          <w:rFonts w:ascii="Arial" w:hAnsi="Arial" w:cs="Arial"/>
          <w:b/>
        </w:rPr>
        <w:t>McLoughlin</w:t>
      </w:r>
      <w:proofErr w:type="spellEnd"/>
      <w:r w:rsidRPr="00C732BB">
        <w:rPr>
          <w:rFonts w:ascii="Arial" w:hAnsi="Arial" w:cs="Arial"/>
          <w:b/>
        </w:rPr>
        <w:t xml:space="preserve"> (DA)</w:t>
      </w:r>
      <w:proofErr w:type="gramEnd"/>
      <w:r w:rsidRPr="00C732BB">
        <w:rPr>
          <w:rFonts w:ascii="Arial" w:hAnsi="Arial" w:cs="Arial"/>
          <w:b/>
        </w:rPr>
        <w:t xml:space="preserve"> to ask the Minister of Transport:</w:t>
      </w:r>
    </w:p>
    <w:p w:rsidR="00C732BB" w:rsidRDefault="00C732BB" w:rsidP="00C732BB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C732BB">
        <w:rPr>
          <w:rFonts w:ascii="Arial" w:hAnsi="Arial" w:cs="Arial"/>
        </w:rPr>
        <w:t>(a) What is the total number of supplier invoices that currently remain unpaid by (</w:t>
      </w:r>
      <w:proofErr w:type="spellStart"/>
      <w:r w:rsidRPr="00C732BB">
        <w:rPr>
          <w:rFonts w:ascii="Arial" w:hAnsi="Arial" w:cs="Arial"/>
        </w:rPr>
        <w:t>i</w:t>
      </w:r>
      <w:proofErr w:type="spellEnd"/>
      <w:r w:rsidRPr="00C732BB">
        <w:rPr>
          <w:rFonts w:ascii="Arial" w:hAnsi="Arial" w:cs="Arial"/>
        </w:rPr>
        <w:t>) his department and (ii) each entity reporting to him for more than (</w:t>
      </w:r>
      <w:proofErr w:type="gramStart"/>
      <w:r w:rsidRPr="00C732BB">
        <w:rPr>
          <w:rFonts w:ascii="Arial" w:hAnsi="Arial" w:cs="Arial"/>
        </w:rPr>
        <w:t>aa</w:t>
      </w:r>
      <w:proofErr w:type="gramEnd"/>
      <w:r w:rsidRPr="00C732BB">
        <w:rPr>
          <w:rFonts w:ascii="Arial" w:hAnsi="Arial" w:cs="Arial"/>
        </w:rPr>
        <w:t>) 30 days, (bb) 60 days, (cc) 90 days and (</w:t>
      </w:r>
      <w:proofErr w:type="spellStart"/>
      <w:r w:rsidRPr="00C732BB">
        <w:rPr>
          <w:rFonts w:ascii="Arial" w:hAnsi="Arial" w:cs="Arial"/>
        </w:rPr>
        <w:t>dd</w:t>
      </w:r>
      <w:proofErr w:type="spellEnd"/>
      <w:r w:rsidRPr="00C732BB">
        <w:rPr>
          <w:rFonts w:ascii="Arial" w:hAnsi="Arial" w:cs="Arial"/>
        </w:rPr>
        <w:t>) 120 days and (b) what is the total amount outstanding in each case?</w:t>
      </w:r>
      <w:r w:rsidRPr="00C732BB">
        <w:rPr>
          <w:rFonts w:ascii="Arial" w:hAnsi="Arial" w:cs="Arial"/>
        </w:rPr>
        <w:tab/>
      </w:r>
      <w:r w:rsidRPr="00C732BB">
        <w:rPr>
          <w:rFonts w:ascii="Arial" w:hAnsi="Arial" w:cs="Arial"/>
        </w:rPr>
        <w:tab/>
      </w:r>
      <w:r w:rsidRPr="00C732BB">
        <w:rPr>
          <w:rFonts w:ascii="Arial" w:hAnsi="Arial" w:cs="Arial"/>
        </w:rPr>
        <w:tab/>
      </w:r>
      <w:r w:rsidRPr="00C732BB">
        <w:rPr>
          <w:rFonts w:ascii="Arial" w:hAnsi="Arial" w:cs="Arial"/>
        </w:rPr>
        <w:tab/>
      </w:r>
      <w:r w:rsidRPr="00C732BB">
        <w:rPr>
          <w:rFonts w:ascii="Arial" w:hAnsi="Arial" w:cs="Arial"/>
        </w:rPr>
        <w:tab/>
      </w:r>
      <w:r w:rsidRPr="00C732BB">
        <w:rPr>
          <w:rFonts w:ascii="Arial" w:hAnsi="Arial" w:cs="Arial"/>
        </w:rPr>
        <w:tab/>
      </w:r>
      <w:r w:rsidRPr="00C732BB">
        <w:rPr>
          <w:rFonts w:ascii="Arial" w:hAnsi="Arial" w:cs="Arial"/>
        </w:rPr>
        <w:tab/>
      </w:r>
      <w:r w:rsidRPr="00C732BB">
        <w:rPr>
          <w:rFonts w:ascii="Arial" w:hAnsi="Arial" w:cs="Arial"/>
        </w:rPr>
        <w:tab/>
      </w:r>
      <w:r w:rsidRPr="00C732BB">
        <w:rPr>
          <w:rFonts w:ascii="Arial" w:hAnsi="Arial" w:cs="Arial"/>
        </w:rPr>
        <w:tab/>
        <w:t>NW4021E</w:t>
      </w:r>
    </w:p>
    <w:p w:rsidR="009204D0" w:rsidRDefault="009204D0" w:rsidP="009204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9B52FE">
        <w:rPr>
          <w:rFonts w:ascii="Arial" w:hAnsi="Arial" w:cs="Arial"/>
          <w:b/>
        </w:rPr>
        <w:t>Reply</w:t>
      </w:r>
    </w:p>
    <w:p w:rsidR="006E0416" w:rsidRDefault="006E0416" w:rsidP="009204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</w:t>
      </w:r>
    </w:p>
    <w:p w:rsidR="006E0416" w:rsidRPr="006E0416" w:rsidRDefault="006E0416" w:rsidP="006E0416">
      <w:pPr>
        <w:spacing w:after="0" w:line="240" w:lineRule="auto"/>
        <w:ind w:left="1080" w:hanging="1080"/>
        <w:rPr>
          <w:rFonts w:ascii="Arial" w:hAnsi="Arial" w:cs="Arial"/>
          <w:lang w:val="en-ZA" w:eastAsia="x-none"/>
        </w:rPr>
      </w:pPr>
      <w:r w:rsidRPr="006E0416">
        <w:rPr>
          <w:rFonts w:ascii="Arial" w:hAnsi="Arial" w:cs="Arial"/>
          <w:lang w:val="en-ZA" w:eastAsia="x-none"/>
        </w:rPr>
        <w:t>(a)(</w:t>
      </w:r>
      <w:proofErr w:type="spellStart"/>
      <w:r w:rsidRPr="006E0416">
        <w:rPr>
          <w:rFonts w:ascii="Arial" w:hAnsi="Arial" w:cs="Arial"/>
          <w:lang w:val="en-ZA" w:eastAsia="x-none"/>
        </w:rPr>
        <w:t>i</w:t>
      </w:r>
      <w:proofErr w:type="spellEnd"/>
      <w:r w:rsidRPr="006E0416">
        <w:rPr>
          <w:rFonts w:ascii="Arial" w:hAnsi="Arial" w:cs="Arial"/>
          <w:lang w:val="en-ZA" w:eastAsia="x-none"/>
        </w:rPr>
        <w:t>)</w:t>
      </w:r>
      <w:r w:rsidRPr="006E0416">
        <w:rPr>
          <w:rFonts w:ascii="Arial" w:hAnsi="Arial" w:cs="Arial"/>
          <w:lang w:val="en-ZA" w:eastAsia="x-none"/>
        </w:rPr>
        <w:tab/>
        <w:t>(</w:t>
      </w:r>
      <w:proofErr w:type="gramStart"/>
      <w:r w:rsidRPr="006E0416">
        <w:rPr>
          <w:rFonts w:ascii="Arial" w:hAnsi="Arial" w:cs="Arial"/>
          <w:lang w:val="en-ZA" w:eastAsia="x-none"/>
        </w:rPr>
        <w:t>aa</w:t>
      </w:r>
      <w:proofErr w:type="gramEnd"/>
      <w:r w:rsidRPr="006E0416">
        <w:rPr>
          <w:rFonts w:ascii="Arial" w:hAnsi="Arial" w:cs="Arial"/>
          <w:lang w:val="en-ZA" w:eastAsia="x-none"/>
        </w:rPr>
        <w:t>)</w:t>
      </w:r>
      <w:r w:rsidRPr="006E0416">
        <w:rPr>
          <w:rFonts w:ascii="Arial" w:hAnsi="Arial" w:cs="Arial"/>
          <w:lang w:val="en-ZA" w:eastAsia="x-none"/>
        </w:rPr>
        <w:tab/>
        <w:t>Nil</w:t>
      </w:r>
    </w:p>
    <w:p w:rsidR="006E0416" w:rsidRPr="006E0416" w:rsidRDefault="006E0416" w:rsidP="006E0416">
      <w:pPr>
        <w:pStyle w:val="ListParagraph"/>
        <w:spacing w:after="0" w:line="240" w:lineRule="auto"/>
        <w:ind w:left="1080"/>
        <w:rPr>
          <w:rFonts w:ascii="Arial" w:hAnsi="Arial" w:cs="Arial"/>
          <w:lang w:val="en-ZA" w:eastAsia="x-none"/>
        </w:rPr>
      </w:pPr>
      <w:r w:rsidRPr="006E0416">
        <w:rPr>
          <w:rFonts w:ascii="Arial" w:hAnsi="Arial" w:cs="Arial"/>
          <w:lang w:val="en-ZA" w:eastAsia="x-none"/>
        </w:rPr>
        <w:t>(</w:t>
      </w:r>
      <w:proofErr w:type="gramStart"/>
      <w:r w:rsidRPr="006E0416">
        <w:rPr>
          <w:rFonts w:ascii="Arial" w:hAnsi="Arial" w:cs="Arial"/>
          <w:lang w:val="en-ZA" w:eastAsia="x-none"/>
        </w:rPr>
        <w:t>bb</w:t>
      </w:r>
      <w:proofErr w:type="gramEnd"/>
      <w:r w:rsidRPr="006E0416">
        <w:rPr>
          <w:rFonts w:ascii="Arial" w:hAnsi="Arial" w:cs="Arial"/>
          <w:lang w:val="en-ZA" w:eastAsia="x-none"/>
        </w:rPr>
        <w:t>)</w:t>
      </w:r>
      <w:r w:rsidRPr="006E0416">
        <w:rPr>
          <w:rFonts w:ascii="Arial" w:hAnsi="Arial" w:cs="Arial"/>
          <w:lang w:val="en-ZA" w:eastAsia="x-none"/>
        </w:rPr>
        <w:tab/>
        <w:t>Nil</w:t>
      </w:r>
    </w:p>
    <w:p w:rsidR="006E0416" w:rsidRPr="006E0416" w:rsidRDefault="006E0416" w:rsidP="006E0416">
      <w:pPr>
        <w:pStyle w:val="ListParagraph"/>
        <w:spacing w:after="0" w:line="240" w:lineRule="auto"/>
        <w:ind w:left="2160" w:hanging="1080"/>
        <w:rPr>
          <w:rFonts w:ascii="Arial" w:hAnsi="Arial" w:cs="Arial"/>
          <w:lang w:val="en-ZA" w:eastAsia="x-none"/>
        </w:rPr>
      </w:pPr>
      <w:r w:rsidRPr="006E0416">
        <w:rPr>
          <w:rFonts w:ascii="Arial" w:hAnsi="Arial" w:cs="Arial"/>
          <w:lang w:val="en-ZA" w:eastAsia="x-none"/>
        </w:rPr>
        <w:t>(cc)</w:t>
      </w:r>
      <w:r w:rsidRPr="006E0416">
        <w:rPr>
          <w:rFonts w:ascii="Arial" w:hAnsi="Arial" w:cs="Arial"/>
          <w:lang w:val="en-ZA" w:eastAsia="x-none"/>
        </w:rPr>
        <w:tab/>
        <w:t>Nil</w:t>
      </w:r>
    </w:p>
    <w:p w:rsidR="006E0416" w:rsidRPr="006E0416" w:rsidRDefault="006E0416" w:rsidP="006E0416">
      <w:pPr>
        <w:pStyle w:val="ListParagraph"/>
        <w:spacing w:after="0" w:line="240" w:lineRule="auto"/>
        <w:ind w:left="1080"/>
        <w:rPr>
          <w:rFonts w:ascii="Arial" w:hAnsi="Arial" w:cs="Arial"/>
          <w:lang w:val="en-ZA" w:eastAsia="x-none"/>
        </w:rPr>
      </w:pPr>
      <w:r w:rsidRPr="006E0416">
        <w:rPr>
          <w:rFonts w:ascii="Arial" w:hAnsi="Arial" w:cs="Arial"/>
          <w:lang w:val="en-ZA" w:eastAsia="x-none"/>
        </w:rPr>
        <w:t>(</w:t>
      </w:r>
      <w:proofErr w:type="spellStart"/>
      <w:proofErr w:type="gramStart"/>
      <w:r w:rsidRPr="006E0416">
        <w:rPr>
          <w:rFonts w:ascii="Arial" w:hAnsi="Arial" w:cs="Arial"/>
          <w:lang w:val="en-ZA" w:eastAsia="x-none"/>
        </w:rPr>
        <w:t>dd</w:t>
      </w:r>
      <w:proofErr w:type="spellEnd"/>
      <w:proofErr w:type="gramEnd"/>
      <w:r w:rsidRPr="006E0416">
        <w:rPr>
          <w:rFonts w:ascii="Arial" w:hAnsi="Arial" w:cs="Arial"/>
          <w:lang w:val="en-ZA" w:eastAsia="x-none"/>
        </w:rPr>
        <w:t>)</w:t>
      </w:r>
      <w:r w:rsidRPr="006E0416">
        <w:rPr>
          <w:rFonts w:ascii="Arial" w:hAnsi="Arial" w:cs="Arial"/>
          <w:lang w:val="en-ZA" w:eastAsia="x-none"/>
        </w:rPr>
        <w:tab/>
        <w:t>Nil</w:t>
      </w:r>
    </w:p>
    <w:p w:rsidR="006E0416" w:rsidRPr="006E0416" w:rsidRDefault="006E0416" w:rsidP="006E0416">
      <w:pPr>
        <w:spacing w:after="0" w:line="240" w:lineRule="auto"/>
        <w:ind w:left="1080" w:hanging="1080"/>
        <w:rPr>
          <w:rFonts w:ascii="Arial" w:hAnsi="Arial" w:cs="Arial"/>
          <w:lang w:val="en-ZA" w:eastAsia="x-none"/>
        </w:rPr>
      </w:pPr>
      <w:r w:rsidRPr="006E0416">
        <w:rPr>
          <w:rFonts w:ascii="Arial" w:hAnsi="Arial" w:cs="Arial"/>
          <w:lang w:val="en-ZA" w:eastAsia="x-none"/>
        </w:rPr>
        <w:t>(b)(</w:t>
      </w:r>
      <w:proofErr w:type="spellStart"/>
      <w:r w:rsidRPr="006E0416">
        <w:rPr>
          <w:rFonts w:ascii="Arial" w:hAnsi="Arial" w:cs="Arial"/>
          <w:lang w:val="en-ZA" w:eastAsia="x-none"/>
        </w:rPr>
        <w:t>i</w:t>
      </w:r>
      <w:proofErr w:type="spellEnd"/>
      <w:r w:rsidRPr="006E0416">
        <w:rPr>
          <w:rFonts w:ascii="Arial" w:hAnsi="Arial" w:cs="Arial"/>
          <w:lang w:val="en-ZA" w:eastAsia="x-none"/>
        </w:rPr>
        <w:t>)</w:t>
      </w:r>
      <w:r w:rsidRPr="006E0416">
        <w:rPr>
          <w:rFonts w:ascii="Arial" w:hAnsi="Arial" w:cs="Arial"/>
          <w:lang w:val="en-ZA" w:eastAsia="x-none"/>
        </w:rPr>
        <w:tab/>
        <w:t>(</w:t>
      </w:r>
      <w:proofErr w:type="gramStart"/>
      <w:r w:rsidRPr="006E0416">
        <w:rPr>
          <w:rFonts w:ascii="Arial" w:hAnsi="Arial" w:cs="Arial"/>
          <w:lang w:val="en-ZA" w:eastAsia="x-none"/>
        </w:rPr>
        <w:t>aa</w:t>
      </w:r>
      <w:proofErr w:type="gramEnd"/>
      <w:r w:rsidRPr="006E0416">
        <w:rPr>
          <w:rFonts w:ascii="Arial" w:hAnsi="Arial" w:cs="Arial"/>
          <w:lang w:val="en-ZA" w:eastAsia="x-none"/>
        </w:rPr>
        <w:t>)</w:t>
      </w:r>
      <w:r w:rsidRPr="006E0416">
        <w:rPr>
          <w:rFonts w:ascii="Arial" w:hAnsi="Arial" w:cs="Arial"/>
          <w:lang w:val="en-ZA" w:eastAsia="x-none"/>
        </w:rPr>
        <w:tab/>
        <w:t>Nil</w:t>
      </w:r>
    </w:p>
    <w:p w:rsidR="006E0416" w:rsidRPr="006E0416" w:rsidRDefault="006E0416" w:rsidP="006E0416">
      <w:pPr>
        <w:pStyle w:val="ListParagraph"/>
        <w:spacing w:after="0" w:line="240" w:lineRule="auto"/>
        <w:ind w:left="1080"/>
        <w:rPr>
          <w:rFonts w:ascii="Arial" w:hAnsi="Arial" w:cs="Arial"/>
          <w:lang w:val="en-ZA" w:eastAsia="x-none"/>
        </w:rPr>
      </w:pPr>
      <w:r w:rsidRPr="006E0416">
        <w:rPr>
          <w:rFonts w:ascii="Arial" w:hAnsi="Arial" w:cs="Arial"/>
          <w:lang w:val="en-ZA" w:eastAsia="x-none"/>
        </w:rPr>
        <w:t>(</w:t>
      </w:r>
      <w:proofErr w:type="gramStart"/>
      <w:r w:rsidRPr="006E0416">
        <w:rPr>
          <w:rFonts w:ascii="Arial" w:hAnsi="Arial" w:cs="Arial"/>
          <w:lang w:val="en-ZA" w:eastAsia="x-none"/>
        </w:rPr>
        <w:t>bb</w:t>
      </w:r>
      <w:proofErr w:type="gramEnd"/>
      <w:r w:rsidRPr="006E0416">
        <w:rPr>
          <w:rFonts w:ascii="Arial" w:hAnsi="Arial" w:cs="Arial"/>
          <w:lang w:val="en-ZA" w:eastAsia="x-none"/>
        </w:rPr>
        <w:t>)</w:t>
      </w:r>
      <w:r w:rsidRPr="006E0416">
        <w:rPr>
          <w:rFonts w:ascii="Arial" w:hAnsi="Arial" w:cs="Arial"/>
          <w:lang w:val="en-ZA" w:eastAsia="x-none"/>
        </w:rPr>
        <w:tab/>
        <w:t>Nil</w:t>
      </w:r>
    </w:p>
    <w:p w:rsidR="006E0416" w:rsidRPr="006E0416" w:rsidRDefault="006E0416" w:rsidP="006E0416">
      <w:pPr>
        <w:pStyle w:val="ListParagraph"/>
        <w:spacing w:after="0" w:line="240" w:lineRule="auto"/>
        <w:ind w:left="2160" w:hanging="1080"/>
        <w:rPr>
          <w:rFonts w:ascii="Arial" w:hAnsi="Arial" w:cs="Arial"/>
          <w:lang w:val="en-ZA" w:eastAsia="x-none"/>
        </w:rPr>
      </w:pPr>
      <w:r w:rsidRPr="006E0416">
        <w:rPr>
          <w:rFonts w:ascii="Arial" w:hAnsi="Arial" w:cs="Arial"/>
          <w:lang w:val="en-ZA" w:eastAsia="x-none"/>
        </w:rPr>
        <w:t>(cc)</w:t>
      </w:r>
      <w:r w:rsidRPr="006E0416">
        <w:rPr>
          <w:rFonts w:ascii="Arial" w:hAnsi="Arial" w:cs="Arial"/>
          <w:lang w:val="en-ZA" w:eastAsia="x-none"/>
        </w:rPr>
        <w:tab/>
        <w:t>Nil</w:t>
      </w:r>
    </w:p>
    <w:p w:rsidR="006E0416" w:rsidRPr="006E0416" w:rsidRDefault="006E0416" w:rsidP="006E0416">
      <w:pPr>
        <w:pStyle w:val="ListParagraph"/>
        <w:spacing w:after="0" w:line="240" w:lineRule="auto"/>
        <w:ind w:left="1080"/>
        <w:rPr>
          <w:rFonts w:ascii="Arial" w:hAnsi="Arial" w:cs="Arial"/>
          <w:lang w:val="en-ZA" w:eastAsia="x-none"/>
        </w:rPr>
      </w:pPr>
      <w:r w:rsidRPr="006E0416">
        <w:rPr>
          <w:rFonts w:ascii="Arial" w:hAnsi="Arial" w:cs="Arial"/>
          <w:lang w:val="en-ZA" w:eastAsia="x-none"/>
        </w:rPr>
        <w:t>(</w:t>
      </w:r>
      <w:proofErr w:type="spellStart"/>
      <w:proofErr w:type="gramStart"/>
      <w:r w:rsidRPr="006E0416">
        <w:rPr>
          <w:rFonts w:ascii="Arial" w:hAnsi="Arial" w:cs="Arial"/>
          <w:lang w:val="en-ZA" w:eastAsia="x-none"/>
        </w:rPr>
        <w:t>dd</w:t>
      </w:r>
      <w:proofErr w:type="spellEnd"/>
      <w:proofErr w:type="gramEnd"/>
      <w:r w:rsidRPr="006E0416">
        <w:rPr>
          <w:rFonts w:ascii="Arial" w:hAnsi="Arial" w:cs="Arial"/>
          <w:lang w:val="en-ZA" w:eastAsia="x-none"/>
        </w:rPr>
        <w:t>)</w:t>
      </w:r>
      <w:r w:rsidRPr="006E0416">
        <w:rPr>
          <w:rFonts w:ascii="Arial" w:hAnsi="Arial" w:cs="Arial"/>
          <w:lang w:val="en-ZA" w:eastAsia="x-none"/>
        </w:rPr>
        <w:tab/>
        <w:t>Nil</w:t>
      </w:r>
    </w:p>
    <w:p w:rsidR="006E0416" w:rsidRPr="006E0416" w:rsidRDefault="006E0416" w:rsidP="006E0416">
      <w:pPr>
        <w:ind w:left="1080" w:hanging="1080"/>
        <w:rPr>
          <w:rFonts w:ascii="Arial" w:hAnsi="Arial" w:cs="Arial"/>
          <w:lang w:val="en-ZA" w:eastAsia="x-none"/>
        </w:rPr>
      </w:pPr>
    </w:p>
    <w:p w:rsidR="006E0416" w:rsidRDefault="006E0416" w:rsidP="006E041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Airports Company South Africa SOC Limited (ACSA)</w:t>
      </w:r>
    </w:p>
    <w:p w:rsidR="006E0416" w:rsidRPr="006147F7" w:rsidRDefault="006E0416" w:rsidP="006E0416">
      <w:pPr>
        <w:jc w:val="both"/>
        <w:rPr>
          <w:rFonts w:ascii="Arial" w:hAnsi="Arial" w:cs="Arial"/>
          <w:lang w:val="en-ZA" w:eastAsia="x-none"/>
        </w:rPr>
      </w:pPr>
      <w:r w:rsidRPr="006147F7">
        <w:rPr>
          <w:rFonts w:ascii="Arial" w:hAnsi="Arial" w:cs="Arial"/>
          <w:lang w:val="en-ZA" w:eastAsia="x-none"/>
        </w:rPr>
        <w:t xml:space="preserve">Airports Company South Africa SOC Limited (ACSA) monitors accounts payable aging at ACSA’S </w:t>
      </w:r>
      <w:proofErr w:type="spellStart"/>
      <w:r w:rsidRPr="006147F7">
        <w:rPr>
          <w:rFonts w:ascii="Arial" w:hAnsi="Arial" w:cs="Arial"/>
          <w:lang w:val="en-ZA" w:eastAsia="x-none"/>
        </w:rPr>
        <w:t>Exco</w:t>
      </w:r>
      <w:proofErr w:type="spellEnd"/>
      <w:r w:rsidRPr="006147F7">
        <w:rPr>
          <w:rFonts w:ascii="Arial" w:hAnsi="Arial" w:cs="Arial"/>
          <w:lang w:val="en-ZA" w:eastAsia="x-none"/>
        </w:rPr>
        <w:t xml:space="preserve"> and Financial Risk Management Committee {FRMC} (subcommittee of the EXCO). </w:t>
      </w:r>
    </w:p>
    <w:p w:rsidR="006E0416" w:rsidRPr="006147F7" w:rsidRDefault="006E0416" w:rsidP="006E0416">
      <w:pPr>
        <w:jc w:val="both"/>
        <w:rPr>
          <w:rFonts w:ascii="Arial" w:hAnsi="Arial" w:cs="Arial"/>
          <w:lang w:val="en-ZA" w:eastAsia="x-none"/>
        </w:rPr>
      </w:pPr>
      <w:r w:rsidRPr="006147F7">
        <w:rPr>
          <w:rFonts w:ascii="Arial" w:hAnsi="Arial" w:cs="Arial"/>
          <w:lang w:val="en-ZA" w:eastAsia="x-none"/>
        </w:rPr>
        <w:t xml:space="preserve">Extracted from the September 2017 FRMC Report (Executive Summary): </w:t>
      </w:r>
    </w:p>
    <w:p w:rsidR="006E0416" w:rsidRDefault="006E0416" w:rsidP="006E0416">
      <w:pPr>
        <w:rPr>
          <w:lang w:val="en-ZA" w:eastAsia="x-none"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01C5EA5F" wp14:editId="20BCF6EF">
            <wp:extent cx="6376670" cy="34143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16" w:rsidRDefault="006E0416" w:rsidP="006E0416">
      <w:pPr>
        <w:rPr>
          <w:lang w:val="en-ZA" w:eastAsia="x-none"/>
        </w:rPr>
      </w:pPr>
      <w:r>
        <w:rPr>
          <w:noProof/>
          <w:lang w:val="en-ZA" w:eastAsia="en-ZA"/>
        </w:rPr>
        <w:drawing>
          <wp:inline distT="0" distB="0" distL="0" distR="0" wp14:anchorId="0C5A000D" wp14:editId="73C0B94D">
            <wp:extent cx="6376670" cy="38881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16" w:rsidRPr="00C255E8" w:rsidRDefault="006E0416" w:rsidP="006E0416">
      <w:pPr>
        <w:rPr>
          <w:b/>
          <w:lang w:val="en-ZA" w:eastAsia="x-none"/>
        </w:rPr>
      </w:pPr>
      <w:r w:rsidRPr="00C255E8">
        <w:rPr>
          <w:b/>
          <w:lang w:val="en-ZA" w:eastAsia="x-none"/>
        </w:rPr>
        <w:t xml:space="preserve">Other detail: 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6096"/>
        <w:gridCol w:w="1560"/>
        <w:gridCol w:w="1559"/>
        <w:gridCol w:w="1701"/>
      </w:tblGrid>
      <w:tr w:rsidR="006E0416" w:rsidRPr="005F7CA3" w:rsidTr="006E0416">
        <w:trPr>
          <w:trHeight w:val="170"/>
          <w:tblHeader/>
        </w:trPr>
        <w:tc>
          <w:tcPr>
            <w:tcW w:w="6096" w:type="dxa"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Supplier Name  </w:t>
            </w:r>
          </w:p>
        </w:tc>
        <w:tc>
          <w:tcPr>
            <w:tcW w:w="1560" w:type="dxa"/>
            <w:hideMark/>
          </w:tcPr>
          <w:p w:rsidR="006E0416" w:rsidRDefault="006E0416" w:rsidP="006E04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Current</w:t>
            </w:r>
          </w:p>
          <w:p w:rsidR="006E0416" w:rsidRPr="005F7CA3" w:rsidRDefault="006E0416" w:rsidP="006E04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(ZAR)</w:t>
            </w:r>
          </w:p>
        </w:tc>
        <w:tc>
          <w:tcPr>
            <w:tcW w:w="1559" w:type="dxa"/>
            <w:hideMark/>
          </w:tcPr>
          <w:p w:rsidR="006E0416" w:rsidRDefault="006E0416" w:rsidP="006E04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30 days</w:t>
            </w:r>
          </w:p>
          <w:p w:rsidR="006E0416" w:rsidRPr="005F7CA3" w:rsidRDefault="006E0416" w:rsidP="006E04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(ZAR)</w:t>
            </w:r>
          </w:p>
        </w:tc>
        <w:tc>
          <w:tcPr>
            <w:tcW w:w="1701" w:type="dxa"/>
            <w:hideMark/>
          </w:tcPr>
          <w:p w:rsidR="006E0416" w:rsidRDefault="006E0416" w:rsidP="006E04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31 – 60 days</w:t>
            </w:r>
          </w:p>
          <w:p w:rsidR="006E0416" w:rsidRPr="005F7CA3" w:rsidRDefault="006E0416" w:rsidP="006E04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(ZAR)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SIZWE AFRICA IT GROUP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9476201,59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KARL FREDERICK KRAMER T/A DURBAN COMPRESSORS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6188376,00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PULENG TECHNOLOGIES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4025764,08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SUPERCARE SERVICES GROUP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1667932,08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TIPP FOCUS HOLDINGS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35388,38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1398553,52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ADB SAFEGATE SOUTH AFRICA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474008,46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567555,62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OTIS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3549,71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1004684,28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BOSASA SECURITY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991980,77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-1179,26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8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AIRFIELD MAINTENANCE CONTRACTOR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665921,34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317387,40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BMK CONSULTING ENGINEERS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955019,04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KUDLAKWELANGA TRADING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943200,00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RUWACON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917543,14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AMERICAN EXPRESS CARDS - CLUB CORPORATE TRAVEL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552527,50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353621,12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BIRDLIFE SOUTH AFRICA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741000,00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SANDTON CONVENTON CENTRE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357117,00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285693,60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ORICOL ENVIRONMENTAL SERVICES (PROPRIETARY) LIMITED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633905,89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POSTWINK SALES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610185,00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ULWEMBU LA SE KASI HOLDINGS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9183,22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20406,00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496290,55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EXPONANT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212603,16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302326,86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RAKOMA AND ASSOCIATES INCORPORATED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500745,00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5867,00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RED ALERT TSS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215857,44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203358,89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GAU FLORA NURSERY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409643,43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MULTICHOICE AFRICA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233104,86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161225,00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SAFETY AND ALLIED PRODUCTS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385092,00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GEORGE MUNICIPALITY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335181,15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TECHNIQUE ENGINEERING SERVICES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325088,35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SFI GROUP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324351,66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CASNAN CIVILS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271120,50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MINERP HOLDINGS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269238,82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CLUB CORPORATE TRAVEL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12655,04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250501,38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MUNICIPALITY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195531,47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64050,00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TSEBO OUTSOURCING GROUP (PTY) LTD T/A TSEBO CLEANING SOLUTIONS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121227,32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121227,32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IKANDO (PTY) LTD t/a </w:t>
            </w:r>
            <w:proofErr w:type="spellStart"/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iTMASTER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232795,49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WASTE PLAN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231855,45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FTI CONSULTING SOUTH AFRICA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225439,56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UK RENOVATORS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118445,01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106254,10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DAWID KRUIPER LOCAL MUNICIPALITY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222355,55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JOHN BEAN TECHNOLOGIES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211160,70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8755,20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CONTINUITYSA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215335,17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PARNIS AIRPORT SERVICES A DIV. OF PARNIS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21492,82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187683,89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MIKELEC ELECTRICAL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200215,19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LS NAIDOO T/A GOODWILL PLUMBING AND CIVILS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191308,49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AFRIMAGE PHOTOGRAPHY t/a ALBERT FRONEMAN CONSULTING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181289,64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AIR TRAFFIC &amp; NAVIGATION SERVICES COMPANY LTD T/A ATNS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177671,37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ENGEN PETROLEUM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172706,26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CAPE TOWN PARTNERSHIP NPC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171000,00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UPLIFT QUALITY SOLUTIONS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164905,56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OMEGA COMMUNICATIONS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26014,80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132599,78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AMPCOR KHANYISA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122853,59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32667,92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GADGET GIRLS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150532,44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TOURVEST DESTINATION MANAGEMENT A DIVISION OF TOURVEST HOLDINGS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150392,99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ACTS OF RANDOM KINDNESS SOUTH AFRICA NPC T/A ARK SA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150000,00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ROSENBAUER SOUTH AFRICA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122177,69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ZGS SOLUTIONS SERVICES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120000,00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SERVEST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115676,22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ODEX ONLINE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37273,05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70996,28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JN PLUMBING CC t/a COMET PLUMBING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103512,00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GARY RACHBUCH ATTORNEYS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96898,88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DOWN LOW CONSTRUCTION AND PROJECTS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96550,00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BARLOWORLD SOUTH AFRICA (PTY) LTD T/A BARLOWORLD EQUIPMENT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91109,71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PROTOCOR TWENTY TWO CC T/A AUTOMATION SPECIFICATION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89837,93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BOWMAN GILFILLAN INC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89143,22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ASPIRE SOLUTIONS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85500,00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MAJUGO TRADING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BEUMER GROUP SOUTH AFRICA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81815,52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SOLID WEDGE SYSTEMS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69820,67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LOURENS ROADMARKING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66558,67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PLAN B CONSULTING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56528,72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SUPERFECTA TRADING 106 CC T/A KZN TOP BUSINESS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52624,00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BORDER KEI CHAMBER OF BUSINESS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51720,00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 W TOOLS AND INDUSTRIAL SUPPLIES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51015,00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KELLY GROUP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49498,02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UNAKHO FIRE AND EMERGENCY TRAINING AND DEVELOPMENT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49200,00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DURBANVILLE PEST CONTROL CC T/A ENVIRO-SAFE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46899,60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 AFRICAN PROPERTY OWNERS ASSOCIATION T/A SAPOA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46603,20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HAMILTON HYDRAULIC SERVICES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46155,18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ENTERPRISES UNIVERSITY OF PRETORIA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45600,00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WAZISONDA INVESTMENTS (PTY) LTD t/a SAUSAGE SALOON PROTEA GLEN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44689,14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DISTINCTIVE CHOICE 1272 CC T/A TURNMET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43465,54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MANAGED INTEGRITY EVALUATION (PTY) LTD T/A MIE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42750,00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MELEX GOLF CARS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42021,25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AVIATION TRAINING ACADEMY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19702,62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21147,00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MOTLA CONSULTING ENGINEERS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40286,38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 HUMAN RESOURCE PRACTICE CC T/A THE HUMAN RESOURCE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39900,00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 PHINDZANI TRADING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1824,00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36000,00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EUROPCAR.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29703,80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4369,19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NDENZA OA (SWD) (PTY) LTD T/A CANOA EASTERN CAPE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7700,00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25036,13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TD MOTHEBE TRADING T/A MOTHEBE SHUTTLE SERVICES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13650,00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18050,00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BIDDULPHS REMOVALS &amp; STORAGE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27861,60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PREMIER ATTRACTION 219 CC T/A ICON CIVILS &amp; BUILDING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27558,36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ANCER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27025,00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ACTIVE MECHANICAL SERVICES GROUP CC T/A AMS GROUP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26710,20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FORMFUNC STUDIO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26239,95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CARPE DIEM CIVILS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25972,40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CITY OF CAPE TOWN - RCS LEVIES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25692,00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RAPID SPILL RESPONSE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25362,06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NDODANA CONSULTING ENGINEERS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25080,00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 H AND H SECURITY TRUST T/A HARTWIG &amp; HENDERSON SECURITY TRUST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24612,12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YELLOW DOT OFFICE DEPOT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24461,65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INSTITUTE OF PEOPLE MANAGEMENT T/A IPM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12040,00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12040,00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SIZISA UKHANYO TRADING 1067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23930,88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SCHINDLER LIFTS (SA)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22160,92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 PRIORY FOR SOUTH AFRICA OF THE ORDER OF ST JOHN T/A ST JOHN AMBULANCE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21950,00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MULTIMINDS 186 CC T/A COOLING SOLUTIONS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21934,51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BAPHATHE TRADING T/A ARWYP AIRPORT CLINIC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20960,00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SIYAYA CORPORATION (PTY) LTD T/A SIYAYA TYRES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20508,60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USIZO TECHNICAL SERVICES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19899,38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GLOBAL PROSPECTUS TRAINING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19357,20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HANAU ELECTRIC (PTY) LTD T/A TELE TRONIC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17850,53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CARGO LEARNING ACADEMY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17580,00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  STATIONERS UPT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17341,63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JABATHA PAPER AND STATIONERY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15938,49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1206,80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BARLOWORLD SOUTH AFRICA PTY LTD T/A AVIS RENT A CAR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16756,86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LEGADIMA PERSONNEL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16279,20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BULKMATECH ENGINEERING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12038,40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3938,70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HEALTH INSITE SA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15931,50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MAINLINE CIVIL ENGINEERING CONTRACTORS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15789,00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MELCO ELEVATOR SA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15576,74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CREST PARKING &amp; ACCESS CONTROL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15530,22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SAACOSH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15162,00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SEEDITE AND BOGOSI TRADE AND ENTERPRISE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15142,50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ENGINEERING COUNCIL OF SOUTH AFRICA T/A ECSA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3072,00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11845,40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 AFRICAN WEATHER SERVICE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14857,28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KAMO INDUSTRIAL SUPPLIES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14136,00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IMAGE EXCELLENCE PERFORMANCE CONSULTANTS GROUP (PTY) LTD T/A IE GROUP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13651,50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MAINBRANCH INVESTMENTS 39 (PTY) LTD T/A SOARING FALCON SPUR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2749,00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3974,10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6907,35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GET EDUCATED CC T/A GETSMARTER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12900,00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WJ AUST CC T/A MICROTEQ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12774,28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SAGE SOUTH AFRICA (PTY) LTD t/a SAGE HR AND PAYROLL A DIV OF SAGE SOUTH AFRICA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12654,00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RENTOKIL INITIAL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12451,89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ALGOA OFFICE AUTOMATION (PTY) LTD t/a NASHUA EASTERN CAPE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12315,22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TOP MEDIA AND COMMUNNICATIONS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11400,00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 GATEWAY HOTEL UMHLANGA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11375,00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COMPLIANCE INSTITUTE OF SOUTH AFRICA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6477,00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4860,00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DURBAN CHAMBER OF COMMERCE AND INDUSTRY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11039,76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DARK FIBRE AFRICA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10624,80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KINGDOM CUISINE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10609,22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APPLECART PROPERTIES 42 CC t/a SAFFRON KITCHEN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6963,12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3465,60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MINOLCO (PTY) LTD T/A KONICA MINOLTA SA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10026,84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GARAGE CARDS - CORPORATE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9435,04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CENTA FIRE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9405,00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SOUTHERN AFRICAN MUSIC RIGHTS ORGANISATION T/A SAMRO LIMITED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9346,30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THINK360 KZN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9006,00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 AFRICAN COUNCIL OF SHOPPING CENTRES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8949,00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FOODWEAR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8744,94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ILEMBE CONSORTIUM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8735,08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PARAMOUNT BODY WORKS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8265,00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INSTITUTION OF FIRE ENGINEERS SA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7930,00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 INSTITUTE OF RISK MANAGEMENT SOUTH AFRICA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7780,50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 AFRICAN CIVIL AVIATION AUTHORITY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5985,00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1785,00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INNOVATIVE SPECIALIZED PRODUCTIONS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7560,00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VOLTEX (PTY) LTD T/A LITECOR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7536,06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GILBARCO AFS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7469,85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ENVIROSERV WASTE MANAGEMENT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7318,80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RICOH SOUTH AFRICA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6882,88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FIHRST MANAGEMENT SERVICES (PTY) LTD (HR)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6770,23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MR FIX IT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6612,00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VODACOM SERVICE PROVIDER COMPANY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6534,90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RODE AND ASSOCIATES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6498,00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TERRA FIRMA SOLUTIONS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6298,50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MASON COMPLETE OFFICE SOLUTIONS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6260,43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COASTAL AND ENVIRONMENTAL SERVICES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6238,67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WCA WORKERS COMPENSATION ASSISTANCE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6228,30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BUMBALI (PTY) LTD t/a BUMBALI CONSULTING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CENTA FIREQUIP CC T/A FIREQUIP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5643,00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AFFIRMATIVE PORTFOLIOS (CC)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5640,05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MASSTORES (PTY) LTD T/A MAKRO SA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5564,00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ALL ABOUT FOOD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5270,91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BIDVEST SERVICES (PTY) LTD t/a BIDVEST STEINER - UPINGTON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5198,40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COMPUTERSHARE PROPRIETARY LIMITED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5130,00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SACHAR MOBILE PRETORIA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4960,82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SIGMA LIFTS AND ESCALATORS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4939,12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STEINER HYGIENE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4673,09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COMMERCE EDGE SOUTH AFRICA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4503,00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OMEGA HR SOLUTIONS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4286,40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ALERT STATIONERS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4204,55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BASFOUR 2730 (PTY) LTD T/A NASHUA MANGAUNG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3946,91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AIRCONDITIONING SERVICES CISKEI PTY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3663,96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 AFRICAN BROADCASTING CORPORATION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3626,52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 SOUTHERN AFRICAN INSTITUTE OF CHARTERED SECRETARIES AND ADMINISTRATORS T/A ICSA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3503,00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BLOEMFONTEIN CHAMBER OF COMMERCE &amp; INDUSTRY (BCCI)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3450,00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FINTECH (PTY) LTD T/A CREDIFON POSTAGE A DIVISION OF FINTECH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3360,00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BIG FIVE DUTY FREE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3315,34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XYZ CATERING (PTY) LTD t/a BRUCE CATERING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3269,56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 SOUTH AFRICAN INSTITUTE OF CIVIL ENGINEERING T/A SAICE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3103,00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PABALELO SECURITY SERVICES AND PROJECTS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3078,00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METROFILE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677,98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1088,47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1244,54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CSIR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2940,52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KEYBASE TRAINING SOLUTIONS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2821,50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CHUBB INTEGRATED SYSTEMS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2793,00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CJ HATTINGH AND SONS CC T/A PMR AFRICA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2600,02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PETTY CASH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2586,00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JOHN KNIGHT CATERING (PTY) LTD t/a KNIGHTS CATERING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2114,70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 AFRICAN POST OFFICE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1800,00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ALTRA MEDICAL PRODUCTIONS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1394,22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DALROD OFFICE SUPPLIES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1258,67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AVUSA RETAIL LTD T/A VAN SCHAIK BOOKSTORE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1106,19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JRS SALES AND CONSULTING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1077,32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NOSA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UPINGTON TREKKERS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984,86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SIZWE PAINTS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793,61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BIDVEST PAPERPLUS (PTY) LTD t/a LITHOTECH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771,19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NELSON MANDELA BAY TOURISM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PARK AVENUE STATIONERS CC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679,38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VUZA MEDICAL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651,50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TRANSFORM EL TRUST T/A TRANSFORM ELECTRICAL WHOLESALERS EL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603,29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MERCHANT WEST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573,77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JAFF AND COMPANY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501,60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 AFRICAN INSTITUTE OF CHARTERED ACCOUNTANTS T/A SAICA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 AFRICAN REWARD ASSOCIATION T/A SARA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500,00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WALKERS MIDAS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169,25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HUGE CONNECT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158,46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HORSEHOE MOTEL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149,00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HALSTED AND COMPANY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141,02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MUNASI CIVIL CONTRACTORS CC BUILDING MAINTENANCE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49,25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WYK G H MR - CORP STAFF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0,30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MASSTORES (PTY) LTD T/A MASSDISCOUNTERS, GAME, DION, DION WIRED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0,01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RGL TRADING (PTY) LTD T/A ITEC EAST CAPE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0,01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GVK SIYA ZAMA BUILDING CONTRACTORS (EP) PTY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-0,01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BIDVEST WALTONS - A DIVISION OF BIDVEST OFFICE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-814,13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AQUA TRANSPORT AND PLANT HIRE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-2394,00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RESHEBILE AVIATION &amp; PROTECTION SERVICES (PTY) LTD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-3707,28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AH HUMAN CAPITAL t/a EXECUTIVES ONLINE JOHANNESBURG NORTH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-19698,42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GOLD CARDS - CORPORATE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-28814,57</w:t>
            </w:r>
          </w:p>
        </w:tc>
      </w:tr>
      <w:tr w:rsidR="006E0416" w:rsidRPr="005F7CA3" w:rsidTr="006E0416">
        <w:trPr>
          <w:trHeight w:val="170"/>
        </w:trPr>
        <w:tc>
          <w:tcPr>
            <w:tcW w:w="6096" w:type="dxa"/>
            <w:noWrap/>
            <w:hideMark/>
          </w:tcPr>
          <w:p w:rsidR="006E0416" w:rsidRPr="005F7CA3" w:rsidRDefault="006E0416" w:rsidP="006E04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 w:eastAsia="en-ZA"/>
              </w:rPr>
              <w:lastRenderedPageBreak/>
              <w:t>Total</w:t>
            </w:r>
          </w:p>
        </w:tc>
        <w:tc>
          <w:tcPr>
            <w:tcW w:w="1560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 w:eastAsia="en-ZA"/>
              </w:rPr>
              <w:t>34392826,86</w:t>
            </w:r>
          </w:p>
        </w:tc>
        <w:tc>
          <w:tcPr>
            <w:tcW w:w="1559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 w:eastAsia="en-ZA"/>
              </w:rPr>
              <w:t>2983737,01</w:t>
            </w:r>
          </w:p>
        </w:tc>
        <w:tc>
          <w:tcPr>
            <w:tcW w:w="1701" w:type="dxa"/>
            <w:noWrap/>
            <w:vAlign w:val="center"/>
            <w:hideMark/>
          </w:tcPr>
          <w:p w:rsidR="006E0416" w:rsidRPr="005F7CA3" w:rsidRDefault="006E0416" w:rsidP="006E041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 w:eastAsia="en-ZA"/>
              </w:rPr>
            </w:pPr>
            <w:r w:rsidRPr="005F7C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 w:eastAsia="en-ZA"/>
              </w:rPr>
              <w:t>8566653,48</w:t>
            </w:r>
          </w:p>
        </w:tc>
      </w:tr>
    </w:tbl>
    <w:p w:rsidR="006E0416" w:rsidRDefault="006E0416" w:rsidP="006E0416">
      <w:pPr>
        <w:rPr>
          <w:lang w:val="en-ZA" w:eastAsia="x-none"/>
        </w:rPr>
      </w:pPr>
    </w:p>
    <w:p w:rsidR="006E0416" w:rsidRDefault="006E0416" w:rsidP="006E0416">
      <w:pPr>
        <w:spacing w:before="100" w:beforeAutospacing="1" w:after="100" w:afterAutospacing="1" w:line="240" w:lineRule="auto"/>
        <w:ind w:left="-1170"/>
        <w:jc w:val="both"/>
        <w:rPr>
          <w:rFonts w:ascii="Arial" w:hAnsi="Arial" w:cs="Arial"/>
          <w:b/>
        </w:rPr>
      </w:pPr>
    </w:p>
    <w:p w:rsidR="006E0416" w:rsidRDefault="006E0416" w:rsidP="006E0416">
      <w:pPr>
        <w:spacing w:before="100" w:beforeAutospacing="1" w:after="100" w:afterAutospacing="1" w:line="240" w:lineRule="auto"/>
        <w:ind w:left="-117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Air Traffic and Navigation Services SOC Limited (ATNS)</w:t>
      </w:r>
    </w:p>
    <w:p w:rsidR="006E0416" w:rsidRPr="006147F7" w:rsidRDefault="006E0416" w:rsidP="006E0416">
      <w:pPr>
        <w:spacing w:before="100" w:beforeAutospacing="1" w:after="100" w:afterAutospacing="1" w:line="240" w:lineRule="auto"/>
        <w:ind w:left="-1170"/>
        <w:jc w:val="both"/>
        <w:rPr>
          <w:rFonts w:ascii="Arial" w:hAnsi="Arial" w:cs="Arial"/>
          <w:b/>
        </w:rPr>
      </w:pPr>
    </w:p>
    <w:p w:rsidR="006E0416" w:rsidRPr="006147F7" w:rsidRDefault="006E0416" w:rsidP="006E0416">
      <w:pPr>
        <w:spacing w:before="100" w:beforeAutospacing="1" w:after="100" w:afterAutospacing="1" w:line="240" w:lineRule="auto"/>
        <w:ind w:left="-1170"/>
        <w:jc w:val="both"/>
        <w:rPr>
          <w:lang w:val="en-ZA" w:eastAsia="x-none"/>
        </w:rPr>
      </w:pPr>
      <w:r w:rsidRPr="006147F7">
        <w:rPr>
          <w:rFonts w:ascii="Arial" w:hAnsi="Arial" w:cs="Arial"/>
          <w:b/>
        </w:rPr>
        <w:t>STATUS OF SUPPLIER INVOICES AS AT 30 SEPTEMBER 2017</w:t>
      </w:r>
    </w:p>
    <w:tbl>
      <w:tblPr>
        <w:tblW w:w="11892" w:type="dxa"/>
        <w:tblInd w:w="-1360" w:type="dxa"/>
        <w:tblLook w:val="04A0" w:firstRow="1" w:lastRow="0" w:firstColumn="1" w:lastColumn="0" w:noHBand="0" w:noVBand="1"/>
      </w:tblPr>
      <w:tblGrid>
        <w:gridCol w:w="588"/>
        <w:gridCol w:w="3233"/>
        <w:gridCol w:w="1385"/>
        <w:gridCol w:w="1385"/>
        <w:gridCol w:w="1219"/>
        <w:gridCol w:w="1385"/>
        <w:gridCol w:w="2697"/>
      </w:tblGrid>
      <w:tr w:rsidR="006E0416" w:rsidRPr="0014379D" w:rsidTr="006E0416">
        <w:trPr>
          <w:trHeight w:val="75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16" w:rsidRPr="0014379D" w:rsidRDefault="006E0416" w:rsidP="006E0416">
            <w:pPr>
              <w:spacing w:after="0" w:line="240" w:lineRule="auto"/>
              <w:ind w:left="-11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16" w:rsidRPr="0014379D" w:rsidRDefault="006E0416" w:rsidP="006E0416">
            <w:pPr>
              <w:spacing w:after="0" w:line="240" w:lineRule="auto"/>
              <w:ind w:left="-11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Supplier Name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16" w:rsidRPr="0014379D" w:rsidRDefault="006E0416" w:rsidP="006E0416">
            <w:pPr>
              <w:spacing w:after="0" w:line="240" w:lineRule="auto"/>
              <w:ind w:left="-11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outstanding 30 Days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16" w:rsidRPr="0014379D" w:rsidRDefault="006E0416" w:rsidP="006E0416">
            <w:pPr>
              <w:spacing w:after="0" w:line="240" w:lineRule="auto"/>
              <w:ind w:left="-11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outstanding 60 Days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16" w:rsidRPr="0014379D" w:rsidRDefault="006E0416" w:rsidP="006E0416">
            <w:pPr>
              <w:spacing w:after="0" w:line="240" w:lineRule="auto"/>
              <w:ind w:left="-11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outstanding 90 Days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16" w:rsidRPr="0014379D" w:rsidRDefault="006E0416" w:rsidP="006E0416">
            <w:pPr>
              <w:spacing w:after="0" w:line="240" w:lineRule="auto"/>
              <w:ind w:left="-11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outstanding 120 Days +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16" w:rsidRPr="0014379D" w:rsidRDefault="006E0416" w:rsidP="006E0416">
            <w:pPr>
              <w:spacing w:after="0" w:line="240" w:lineRule="auto"/>
              <w:ind w:left="-11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 for non-payment/Envisaged date of payment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GARTNER SOUTH AFRICA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834,071.12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666,743.82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MAYA INNOVATE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388,340.32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NEOTEL BUSINESS SUPPORT SERVICES PTY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52,998.03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53,572.36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G4S SECURE SOLUTION (SA) (PTY)LTD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82,496.56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38,549.10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OPTICAL FIBRE TRENDS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39,152.10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89,397.66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NGUBANE AND COMPANY JOHANNESBURG INCORPOR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156,682.26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MINKATEKO GENERAL MAINTENANCE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61,919.56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48,431.31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13,440.00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GA ENVIRONMENT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89,889.00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MADIBA MOTSAI MASITENYANE AND GITHIRI ATT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28,215.00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32,917.50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MOCCS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16,512.84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OMNIVISION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15,331.81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OTIS ELEVATOR COMPANY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10,967.59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METROFILE PTY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21,804.13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HENRY WILLIAMS PLANTSCAPE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4,836.94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4,836.94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4,836.94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KPMG SERVICES(PROPRIETATY)LIMITED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5,735.34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LOAD MASS CRANE SERVICES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5,304.42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Awaiting credit note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 xml:space="preserve">NTEBU PELE PROJECTS AND </w:t>
            </w:r>
            <w:r w:rsidRPr="0014379D">
              <w:rPr>
                <w:rFonts w:ascii="Arial Narrow" w:eastAsia="Times New Roman" w:hAnsi="Arial Narrow" w:cs="Times New Roman"/>
                <w:color w:val="000000"/>
              </w:rPr>
              <w:lastRenderedPageBreak/>
              <w:t>CONTRACTORS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4,332.00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KEVCOR EQUIPMENT DIVISION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2,872.80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H20 PURIFIES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1,020.00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1,020.00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THALES(FLIGHTCRAFT AVIATION))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1,559,973.86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2,941,673.67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SA POST OFFICE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4,821.75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 A CIVIL AVIATION AUTHORITY (LICENCES)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982,213.98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2,940.00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RED ALERT JOHANNESBURG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187,024.38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13,054.05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RAPDL CONSTRUCTION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21,489.00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ROCKETSEED  SOUTH AFRICA PTY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64,877.40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PTES CONSULTING AND RECRUITMENT SERVICES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21,090.00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105,108.00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SITA INFORMATION NETWORKING COMPUTING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123,472.83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3,126.00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4,466.03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TWOFOLDS CONSULTING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76,810.01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TEMBO'S CATERING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4,770.00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25,890.00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19,973.00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Await approval, </w:t>
            </w:r>
            <w:proofErr w:type="spellStart"/>
            <w:r w:rsidRPr="0014379D">
              <w:rPr>
                <w:rFonts w:ascii="Calibri" w:eastAsia="Times New Roman" w:hAnsi="Calibri" w:cs="Times New Roman"/>
                <w:color w:val="000000"/>
              </w:rPr>
              <w:t>incumbrance</w:t>
            </w:r>
            <w:proofErr w:type="spellEnd"/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THE INSTITUTE OF RISK MANAGEMENT SOUTH AF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31,122.00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SOLID GREEN CONSULTING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31,017.12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RENTOKIL PTY LTD C.T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17,729.84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5,016.26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Awaiting statement, requested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THE BUSINESS ZONE 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20,770.82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PUBLIC DISPLAY TECHNOLOGIES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14,411.41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PUREAU FRESHWATER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9,623.88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Approval related problem, to review contracts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STOREX PTY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11,970.00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SABC TV LICENCES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11,363.27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Account under query, payment by 15 Nov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WESTERN OCEAN INVESTMENTS 112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9,975.00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WATER FROM AIR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3,003.90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Await confirmation of banking details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WALTONS STATIONERY CO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1,574.98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1,723.01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Await credit note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TS PROMOTIONS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4,155.00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WP DE JONGH ELELECTRICAL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1,368.00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2,394.00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>43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SAFETY MATE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2,430.87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TUINROETE AGR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1,538.45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65.52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Statement requested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WLZ COMMUNICATION T/A HYMAX BORDER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792.30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SANDOLL CONSULTANTS PTY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342.00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DAWN WING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34,951.15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2,425.58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981.64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37,470.78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Delay in approval of invoices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FIDELITY SPRINGBOK SECURIT(JHB)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37,018.03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36,516.12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FIDELITY SUPERCARE CLEANING(CT)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8,117.94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BROLL PROPERTY GROUP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12,347.12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13,634.81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11,917.88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Account under investigation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BATTERY CABIN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23,700.00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DR BRATHWAITE &amp; PARTNERS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722.40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10,827.56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4,441.90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3,890.15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 xml:space="preserve">BIDVEST MANAGED SOLUTIONS (Pty) </w:t>
            </w:r>
            <w:proofErr w:type="spellStart"/>
            <w:r w:rsidRPr="0014379D">
              <w:rPr>
                <w:rFonts w:ascii="Arial Narrow" w:eastAsia="Times New Roman" w:hAnsi="Arial Narrow" w:cs="Times New Roman"/>
                <w:color w:val="000000"/>
              </w:rPr>
              <w:t>lTD.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6,369.02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6,369.02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BIDDULPHS REMOVALS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18,183.00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DR PETRO LEHMAN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13,690.00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DIESEL ELECTRIC SERVICES PTY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11,235.27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BASIC COOLING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4,383.30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6,156.00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DR AS NIEMANN &amp; ASSOCIATES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6,562.55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2,887.79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CHUBB ELECTRONIC SECURITY PE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1,991.60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3,272.63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ADVENTURE INDUSTRIAL CLEANING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7,210.50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ADT FIRE SECURITY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1,378.43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1,378.43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2,756.86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DR BOSMAN &amp; VENOTE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770.00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2,639.39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DR BOSMAN;BRINK &amp; GROENEVELD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761.16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BYTES PEOPLE SOLUTIONS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45.60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AIRPORTS COMPANY SOUTH AFRICA (CT)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1,851.19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1,851.19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IMITIZA FARM FORT GREY (ESKOM)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5,745.52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KINGDOM STATIONERY &amp; COMPUTERS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33,857.21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17,020.66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27,582.99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LINK FIRE CONTROL SYSTEMS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1,760.16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557.46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>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METROFILE(PTY)LTD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4,172.29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NAREN MISTRY ARCHITECHS CC T/A THE CREATI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413,414.96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ICAS SOUTHERN AFRICA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22,116.00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16,986.00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KLOPPERS CAW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11,394.00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OMEGA PRINT &amp; OFFICE SUPPLIES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13,205.76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IDTEK SOLUTIONS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8,898.68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VOX TELECOMMUNICATIONS (PTY)LTD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619,233.59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2,470,524.71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SALISPACE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89,141.16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TAP PROPERTIES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56,700.00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TRANSCEND CORPORATE ADVISORS(PTY)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48,639.70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Await supplier statement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PICKFORDS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4,770.90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SMITH GARB &amp; ASSOCIATES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35,129.10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THUSANANG GAST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16,840.99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STUTTAFORD VAN LINERS BLOEMFONTEIN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14,521.91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RENTOKIL PTY LTD PE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4,561.15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Await supplier statement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RED ALERT CLEANING BLOEMFONTEIN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2,537.37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7,555.65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UNDERWRAPS CATERERS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3,819.00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&amp; late approval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SIZABANTU PLUMBING CONTRACTORS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661.20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7,331.65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&amp; late approval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STUTTAFORD VAN LINES-CAPE TOWN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5,808.30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Late approval of invoice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UNISA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13,168.75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5,445.00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6,617.50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UNIVERSITY OF STELLENBOSCH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2,515.00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 A COUNCIL FOR PROF &amp; TECH SURVEYS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1,730.00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RED ALERT ALARMS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332.60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DAC SYSTEMS(PTY)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37,973.84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COFFEE UNPLUGGED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1,658.70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11,286.00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18,667.50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>94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DR K A INGHAM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11,400.00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DATACENTRIX PTY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7,182.00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CHUBB ELECTRONIC SECURITY BL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639.00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4,930.74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 xml:space="preserve">DISCOVERY </w:t>
            </w:r>
            <w:proofErr w:type="spellStart"/>
            <w:r w:rsidRPr="0014379D">
              <w:rPr>
                <w:rFonts w:ascii="Arial Narrow" w:eastAsia="Times New Roman" w:hAnsi="Arial Narrow" w:cs="Times New Roman"/>
                <w:color w:val="000000"/>
              </w:rPr>
              <w:t>HEALTHMediacal</w:t>
            </w:r>
            <w:proofErr w:type="spellEnd"/>
            <w:r w:rsidRPr="0014379D">
              <w:rPr>
                <w:rFonts w:ascii="Arial Narrow" w:eastAsia="Times New Roman" w:hAnsi="Arial Narrow" w:cs="Times New Roman"/>
                <w:color w:val="000000"/>
              </w:rPr>
              <w:t xml:space="preserve"> Aid)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1,038.00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AASA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183,382.30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KOUGA MUNICIPALITY(HUMANSDORP)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3,188.04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MAUREEN'S CATERING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10,000.00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HEIN SCHRODER AND ASSOCIATES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34,200.00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ISOLVE BUSINESS SOLUTIONS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13,680.00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VODAC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10.00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SENNHEISER ELECTRONIC SA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56,458.50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TSHIAMO CHEMISTRY PTY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18,194.40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VAN SCHALK BOOKSTORE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128.00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13,242.62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SA BOARD FORPEOPLE PRACTICE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855.00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CHUBB INTERGRATED SYSTEMS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17,688.11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35,376.22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ESKOM PHILIPSTOWN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688.26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 xml:space="preserve"> GDS TECHNOLOGIES (PTY) LTD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344,712.00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MINKATEKO GENERAL MAINTENANCE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35,317.20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5,597.40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MULTI WASTE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3,429.92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LEXISNEXIS BUTTERWORTHS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51,605.10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OPTRON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13,942.20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MAMABOLO PHAJANE ATTORNEYS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7,974.85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ORACLE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6,561.56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Investigating possible duplication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LABOURNET CENTRAL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5,529.00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GOVERNMENT PRINTING WORKS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4,000.00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GANGA PLUMBERS CC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</w:t>
            </w: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513.00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lastRenderedPageBreak/>
              <w:t>120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HLATSHWAYO DU PLESSIS VAN DER MERWE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1,829.70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Await credit note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UNIVERSITY OF WITWATERSRAND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20,584.00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SIGMA LIFTS &amp; ESCALATORS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9,708.87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SOUTH AFRICAN  GEOMATICS INSTITUTE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943.50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PICTO BUSBY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598.62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Supplier statement requested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EXORDIA (PRICEWATERHOUSECOOPERS)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526,643.15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ALLEGRO CENTRAL VACUUM SYSTEMS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8,753.70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CARGO LEARNING ACADEMY(PTY)LTD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3,520.00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ALEXKOR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3,442.66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COMPLIANCE INSTITUTE OF SOUTHERN AFRICA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2,808.01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Await credit note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DRS DIETRICH;VOIGT &amp; PARTNERS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485.16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Paid End October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EBSCO SUBSCRIPTION SERVICES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158.13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Await credit note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ACTION TRAINING ACADEMY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30,287.52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ACTION TRAINING ACADEMY DBN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3,740.00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4379D">
              <w:rPr>
                <w:rFonts w:ascii="Arial Narrow" w:eastAsia="Times New Roman" w:hAnsi="Arial Narrow" w:cs="Times New Roman"/>
                <w:color w:val="000000"/>
              </w:rPr>
              <w:t>GIJIMA AST HOLDING (PTY) LTD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                -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  16,190.28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Queries being attended to</w:t>
            </w:r>
          </w:p>
        </w:tc>
      </w:tr>
      <w:tr w:rsidR="006E0416" w:rsidRPr="0014379D" w:rsidTr="006E0416">
        <w:trPr>
          <w:trHeight w:val="340"/>
        </w:trPr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>REPORT TOTAL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5,279,037.31 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4,981,612.13 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    725,480.86 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79D">
              <w:rPr>
                <w:rFonts w:ascii="Calibri" w:eastAsia="Times New Roman" w:hAnsi="Calibri" w:cs="Times New Roman"/>
                <w:color w:val="000000"/>
              </w:rPr>
              <w:t xml:space="preserve">       4,061,004.41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16" w:rsidRPr="0014379D" w:rsidRDefault="006E0416" w:rsidP="006E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E0416" w:rsidRDefault="006E0416" w:rsidP="006E0416">
      <w:pPr>
        <w:rPr>
          <w:lang w:val="en-ZA" w:eastAsia="x-none"/>
        </w:rPr>
      </w:pPr>
    </w:p>
    <w:p w:rsidR="006E0416" w:rsidRDefault="006E0416" w:rsidP="006E0416">
      <w:pPr>
        <w:rPr>
          <w:lang w:val="en-ZA" w:eastAsia="x-none"/>
        </w:rPr>
      </w:pPr>
    </w:p>
    <w:p w:rsidR="006E0416" w:rsidRDefault="006E0416" w:rsidP="006E0416">
      <w:pPr>
        <w:rPr>
          <w:rFonts w:ascii="Arial" w:hAnsi="Arial" w:cs="Arial"/>
          <w:b/>
          <w:lang w:val="en-ZA" w:eastAsia="x-none"/>
        </w:rPr>
      </w:pPr>
      <w:r w:rsidRPr="00ED7459">
        <w:rPr>
          <w:rFonts w:ascii="Arial" w:hAnsi="Arial" w:cs="Arial"/>
          <w:b/>
          <w:lang w:val="en-ZA" w:eastAsia="x-none"/>
        </w:rPr>
        <w:t>South African Civil Aviation Authority (SACAA)</w:t>
      </w:r>
    </w:p>
    <w:p w:rsidR="006E0416" w:rsidRPr="007D604F" w:rsidRDefault="006E0416" w:rsidP="006E0416">
      <w:pPr>
        <w:pStyle w:val="ListParagraph"/>
        <w:numPr>
          <w:ilvl w:val="0"/>
          <w:numId w:val="34"/>
        </w:numPr>
        <w:spacing w:after="0" w:line="288" w:lineRule="auto"/>
        <w:jc w:val="both"/>
        <w:rPr>
          <w:rFonts w:ascii="Arial" w:hAnsi="Arial" w:cs="Arial"/>
          <w:sz w:val="21"/>
          <w:szCs w:val="21"/>
          <w:lang w:val="en-ZA" w:eastAsia="x-none"/>
        </w:rPr>
      </w:pPr>
      <w:r w:rsidRPr="007D604F">
        <w:rPr>
          <w:rFonts w:ascii="Arial" w:hAnsi="Arial" w:cs="Arial"/>
          <w:sz w:val="21"/>
          <w:szCs w:val="21"/>
          <w:lang w:val="af-ZA"/>
        </w:rPr>
        <w:t xml:space="preserve">(i) Not applicable; (ii) and (b): </w:t>
      </w:r>
      <w:r w:rsidRPr="007D604F">
        <w:rPr>
          <w:rFonts w:ascii="Arial" w:hAnsi="Arial" w:cs="Arial"/>
          <w:sz w:val="21"/>
          <w:szCs w:val="21"/>
          <w:lang w:val="en-ZA" w:eastAsia="x-none"/>
        </w:rPr>
        <w:t xml:space="preserve">The South African Civil Aviation Authority (SACAA) endeavours to comply with section 38(1)(f) of the Public Finance Management Act, Treasury Regulation 8.2.3 and National Treasury SCM Instruction No 5 of 2016/17 to settle all contractual obligations as well as all valid and approved invoices within a period of 30 days, or as prescribed or agreed. </w:t>
      </w:r>
    </w:p>
    <w:p w:rsidR="006E0416" w:rsidRPr="007D604F" w:rsidRDefault="006E0416" w:rsidP="006E0416">
      <w:pPr>
        <w:pStyle w:val="ListParagraph"/>
        <w:spacing w:after="0" w:line="288" w:lineRule="auto"/>
        <w:ind w:left="1080"/>
        <w:jc w:val="both"/>
        <w:rPr>
          <w:rFonts w:ascii="Arial" w:hAnsi="Arial" w:cs="Arial"/>
          <w:sz w:val="21"/>
          <w:szCs w:val="21"/>
          <w:lang w:val="en-ZA" w:eastAsia="x-none"/>
        </w:rPr>
      </w:pPr>
    </w:p>
    <w:p w:rsidR="006E0416" w:rsidRDefault="006E0416" w:rsidP="006E0416">
      <w:pPr>
        <w:pStyle w:val="ListParagraph"/>
        <w:spacing w:after="0" w:line="288" w:lineRule="auto"/>
        <w:ind w:left="360"/>
        <w:jc w:val="both"/>
        <w:rPr>
          <w:rFonts w:ascii="Arial" w:hAnsi="Arial" w:cs="Arial"/>
          <w:lang w:val="en-ZA" w:eastAsia="x-none"/>
        </w:rPr>
      </w:pPr>
      <w:r w:rsidRPr="007D604F">
        <w:rPr>
          <w:rFonts w:ascii="Arial" w:hAnsi="Arial" w:cs="Arial"/>
          <w:color w:val="000000" w:themeColor="text1"/>
          <w:sz w:val="21"/>
          <w:szCs w:val="21"/>
        </w:rPr>
        <w:t xml:space="preserve">Debt is settled within 30 days of a valid and approved invoice being presented to the SACAA’s Finance Department and if all the required supporting documents are submitted. </w:t>
      </w:r>
      <w:r w:rsidRPr="007D604F">
        <w:rPr>
          <w:rFonts w:ascii="Arial" w:hAnsi="Arial" w:cs="Arial"/>
          <w:sz w:val="21"/>
          <w:szCs w:val="21"/>
          <w:lang w:val="en-ZA" w:eastAsia="x-none"/>
        </w:rPr>
        <w:t>An invoice is regarded as a valid invoice only after it has been approved by the business unit receiving the service / product, to certify that goods/services offered were received in order and were of the corr</w:t>
      </w:r>
      <w:r>
        <w:rPr>
          <w:rFonts w:ascii="Arial" w:hAnsi="Arial" w:cs="Arial"/>
          <w:sz w:val="21"/>
          <w:szCs w:val="21"/>
          <w:lang w:val="en-ZA" w:eastAsia="x-none"/>
        </w:rPr>
        <w:t xml:space="preserve">ect quality and quantity. </w:t>
      </w:r>
      <w:r w:rsidRPr="007D604F">
        <w:rPr>
          <w:rFonts w:ascii="Arial" w:hAnsi="Arial" w:cs="Arial"/>
          <w:bCs/>
          <w:sz w:val="21"/>
          <w:szCs w:val="21"/>
          <w:lang w:eastAsia="x-none"/>
        </w:rPr>
        <w:t xml:space="preserve">Invoices that have not been approved and paid within </w:t>
      </w:r>
      <w:r w:rsidRPr="007D604F">
        <w:rPr>
          <w:rFonts w:ascii="Arial" w:hAnsi="Arial" w:cs="Arial"/>
          <w:bCs/>
          <w:color w:val="000000"/>
          <w:sz w:val="21"/>
          <w:szCs w:val="21"/>
        </w:rPr>
        <w:t xml:space="preserve">30 days are as a result of </w:t>
      </w:r>
      <w:r w:rsidRPr="007D604F">
        <w:rPr>
          <w:rFonts w:ascii="Arial" w:hAnsi="Arial" w:cs="Arial"/>
          <w:bCs/>
          <w:sz w:val="21"/>
          <w:szCs w:val="21"/>
          <w:lang w:eastAsia="x-none"/>
        </w:rPr>
        <w:t xml:space="preserve">queries between the SACAA and the supplier that must be resolved first. </w:t>
      </w:r>
      <w:r w:rsidRPr="007D604F">
        <w:rPr>
          <w:rFonts w:ascii="Arial" w:hAnsi="Arial" w:cs="Arial"/>
          <w:color w:val="000000" w:themeColor="text1"/>
          <w:sz w:val="21"/>
          <w:szCs w:val="21"/>
        </w:rPr>
        <w:t xml:space="preserve">Payments are done weekly by the SACAA’s </w:t>
      </w:r>
      <w:r w:rsidRPr="007D604F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Finance Department and a creditor’s age analysis is prepared and reviewed monthly. </w:t>
      </w:r>
      <w:r w:rsidRPr="007D604F">
        <w:rPr>
          <w:rFonts w:ascii="Arial" w:hAnsi="Arial" w:cs="Arial"/>
          <w:sz w:val="21"/>
          <w:szCs w:val="21"/>
          <w:lang w:val="en-ZA" w:eastAsia="x-none"/>
        </w:rPr>
        <w:t>The following invoices are currently recorded as unpaid for more than 30 days</w:t>
      </w:r>
      <w:r>
        <w:rPr>
          <w:rFonts w:ascii="Arial" w:hAnsi="Arial" w:cs="Arial"/>
          <w:lang w:val="en-ZA" w:eastAsia="x-none"/>
        </w:rPr>
        <w:t>:</w:t>
      </w:r>
    </w:p>
    <w:p w:rsidR="006E0416" w:rsidRDefault="006E0416" w:rsidP="006E0416">
      <w:pPr>
        <w:pStyle w:val="ListParagraph"/>
        <w:spacing w:after="0" w:line="240" w:lineRule="auto"/>
        <w:ind w:left="360"/>
        <w:rPr>
          <w:rFonts w:ascii="Arial" w:hAnsi="Arial" w:cs="Arial"/>
          <w:lang w:val="en-ZA" w:eastAsia="x-none"/>
        </w:rPr>
      </w:pPr>
    </w:p>
    <w:p w:rsidR="006E0416" w:rsidRDefault="006E0416" w:rsidP="006E0416">
      <w:pPr>
        <w:jc w:val="right"/>
        <w:rPr>
          <w:lang w:val="en-ZA" w:eastAsia="x-none"/>
        </w:rPr>
      </w:pPr>
      <w:r w:rsidRPr="001F5CDD">
        <w:rPr>
          <w:noProof/>
          <w:lang w:val="en-ZA" w:eastAsia="en-ZA"/>
        </w:rPr>
        <w:drawing>
          <wp:inline distT="0" distB="0" distL="0" distR="0" wp14:anchorId="1D77F1FC" wp14:editId="1D8B0EE4">
            <wp:extent cx="6170398" cy="449834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42" cy="450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D0" w:rsidRPr="00AE3BD7" w:rsidRDefault="009204D0" w:rsidP="00A2362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</w:rPr>
      </w:pPr>
      <w:r w:rsidRPr="002829D7">
        <w:rPr>
          <w:rFonts w:ascii="Arial" w:hAnsi="Arial" w:cs="Arial"/>
          <w:b/>
          <w:lang w:val="en-ZA" w:eastAsia="x-none"/>
        </w:rPr>
        <w:t>(ii) CBRTA’</w:t>
      </w:r>
    </w:p>
    <w:p w:rsidR="00AE3BD7" w:rsidRPr="002829D7" w:rsidRDefault="00AE3BD7" w:rsidP="00AE3BD7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</w:rPr>
      </w:pPr>
    </w:p>
    <w:p w:rsidR="00AE3BD7" w:rsidRDefault="00AE3BD7" w:rsidP="000E66A4">
      <w:pPr>
        <w:ind w:left="720"/>
        <w:jc w:val="both"/>
        <w:rPr>
          <w:rFonts w:ascii="Arial" w:hAnsi="Arial" w:cs="Arial"/>
          <w:lang w:val="en-ZA" w:eastAsia="x-none"/>
        </w:rPr>
      </w:pPr>
      <w:r w:rsidRPr="00076051">
        <w:rPr>
          <w:rFonts w:ascii="Arial" w:hAnsi="Arial" w:cs="Arial"/>
          <w:lang w:val="en-ZA" w:eastAsia="x-none"/>
        </w:rPr>
        <w:t>The Cross Bor</w:t>
      </w:r>
      <w:r>
        <w:rPr>
          <w:rFonts w:ascii="Arial" w:hAnsi="Arial" w:cs="Arial"/>
          <w:lang w:val="en-ZA" w:eastAsia="x-none"/>
        </w:rPr>
        <w:t xml:space="preserve">der Road Transport Agency pays its debt timeously, </w:t>
      </w:r>
      <w:r w:rsidRPr="00076051">
        <w:rPr>
          <w:rFonts w:ascii="Arial" w:hAnsi="Arial" w:cs="Arial"/>
          <w:lang w:val="en-ZA" w:eastAsia="x-none"/>
        </w:rPr>
        <w:t xml:space="preserve">at an average of 14 days per creditor. There are however, isolated instances where service providers are not paid within 30 days of receipt of invoices for a variety of reasons, for instance, where the service has not been satisfactory and warrants engagement with the </w:t>
      </w:r>
      <w:r>
        <w:rPr>
          <w:rFonts w:ascii="Arial" w:hAnsi="Arial" w:cs="Arial"/>
          <w:lang w:val="en-ZA" w:eastAsia="x-none"/>
        </w:rPr>
        <w:t>Agency</w:t>
      </w:r>
      <w:r w:rsidRPr="00076051">
        <w:rPr>
          <w:rFonts w:ascii="Arial" w:hAnsi="Arial" w:cs="Arial"/>
          <w:lang w:val="en-ZA" w:eastAsia="x-none"/>
        </w:rPr>
        <w:t>, or where errors have been picked up from the supplier invoice</w:t>
      </w:r>
      <w:r>
        <w:rPr>
          <w:rFonts w:ascii="Arial" w:hAnsi="Arial" w:cs="Arial"/>
          <w:lang w:val="en-ZA" w:eastAsia="x-none"/>
        </w:rPr>
        <w:t>s</w:t>
      </w:r>
      <w:r w:rsidRPr="00076051">
        <w:rPr>
          <w:rFonts w:ascii="Arial" w:hAnsi="Arial" w:cs="Arial"/>
          <w:lang w:val="en-ZA" w:eastAsia="x-none"/>
        </w:rPr>
        <w:t xml:space="preserve"> or where the price charged is not in line with what was contracted or quoted.</w:t>
      </w:r>
    </w:p>
    <w:p w:rsidR="00AE3BD7" w:rsidRPr="00454172" w:rsidRDefault="00AE3BD7" w:rsidP="000E66A4">
      <w:pPr>
        <w:pStyle w:val="ListParagraph"/>
        <w:numPr>
          <w:ilvl w:val="0"/>
          <w:numId w:val="32"/>
        </w:numPr>
        <w:ind w:left="993" w:hanging="284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(ii) </w:t>
      </w:r>
      <w:r w:rsidRPr="00454172">
        <w:rPr>
          <w:rFonts w:ascii="Arial" w:hAnsi="Arial" w:cs="Arial"/>
          <w:lang w:val="en-ZA" w:eastAsia="x-none"/>
        </w:rPr>
        <w:t xml:space="preserve">The </w:t>
      </w:r>
      <w:r>
        <w:rPr>
          <w:rFonts w:ascii="Arial" w:hAnsi="Arial" w:cs="Arial"/>
          <w:lang w:val="en-ZA" w:eastAsia="x-none"/>
        </w:rPr>
        <w:t xml:space="preserve">Agency has eighteen (18) suppliers that remained unpaid for more than 30 days as at the end of October 2017.  </w:t>
      </w:r>
      <w:r w:rsidRPr="00454172">
        <w:rPr>
          <w:rFonts w:ascii="Arial" w:hAnsi="Arial" w:cs="Arial"/>
          <w:lang w:val="en-ZA" w:eastAsia="x-none"/>
        </w:rPr>
        <w:t xml:space="preserve"> </w:t>
      </w:r>
      <w:r>
        <w:rPr>
          <w:rFonts w:ascii="Arial" w:hAnsi="Arial" w:cs="Arial"/>
          <w:lang w:val="en-ZA" w:eastAsia="x-none"/>
        </w:rPr>
        <w:t>See table below for more information.</w:t>
      </w:r>
    </w:p>
    <w:tbl>
      <w:tblPr>
        <w:tblW w:w="9894" w:type="dxa"/>
        <w:tblInd w:w="-147" w:type="dxa"/>
        <w:tblLook w:val="04A0" w:firstRow="1" w:lastRow="0" w:firstColumn="1" w:lastColumn="0" w:noHBand="0" w:noVBand="1"/>
      </w:tblPr>
      <w:tblGrid>
        <w:gridCol w:w="2272"/>
        <w:gridCol w:w="1503"/>
        <w:gridCol w:w="1758"/>
        <w:gridCol w:w="1589"/>
        <w:gridCol w:w="2772"/>
      </w:tblGrid>
      <w:tr w:rsidR="00AE3BD7" w:rsidRPr="002208D1" w:rsidTr="00C87CAE">
        <w:tc>
          <w:tcPr>
            <w:tcW w:w="2410" w:type="dxa"/>
          </w:tcPr>
          <w:p w:rsidR="00AE3BD7" w:rsidRPr="002208D1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t>(aa) 30 days but below 60 days</w:t>
            </w:r>
          </w:p>
        </w:tc>
        <w:tc>
          <w:tcPr>
            <w:tcW w:w="1560" w:type="dxa"/>
          </w:tcPr>
          <w:p w:rsidR="00AE3BD7" w:rsidRPr="002208D1" w:rsidRDefault="00AE3BD7" w:rsidP="00AE3BD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t>60 days but below 90 days</w:t>
            </w:r>
          </w:p>
        </w:tc>
        <w:tc>
          <w:tcPr>
            <w:tcW w:w="1842" w:type="dxa"/>
          </w:tcPr>
          <w:p w:rsidR="00AE3BD7" w:rsidRPr="002208D1" w:rsidRDefault="00AE3BD7" w:rsidP="00AE3BD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t>90 days but below 120 days</w:t>
            </w:r>
          </w:p>
        </w:tc>
        <w:tc>
          <w:tcPr>
            <w:tcW w:w="1641" w:type="dxa"/>
          </w:tcPr>
          <w:p w:rsidR="00AE3BD7" w:rsidRPr="002208D1" w:rsidRDefault="00AE3BD7" w:rsidP="00AE3BD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t>120 days and more</w:t>
            </w:r>
          </w:p>
        </w:tc>
        <w:tc>
          <w:tcPr>
            <w:tcW w:w="2441" w:type="dxa"/>
            <w:vMerge w:val="restart"/>
          </w:tcPr>
          <w:p w:rsidR="00AE3BD7" w:rsidRPr="002208D1" w:rsidRDefault="00AE3BD7" w:rsidP="00AE3BD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t>Amount outstanding</w:t>
            </w:r>
          </w:p>
        </w:tc>
      </w:tr>
      <w:tr w:rsidR="00AE3BD7" w:rsidRPr="00773D35" w:rsidTr="00BD0668">
        <w:tc>
          <w:tcPr>
            <w:tcW w:w="2410" w:type="dxa"/>
          </w:tcPr>
          <w:p w:rsidR="00AE3BD7" w:rsidRPr="00773D35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</w:p>
          <w:p w:rsidR="00AE3BD7" w:rsidRPr="00773D35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773D35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t>Eight (8) suppliers</w:t>
            </w:r>
          </w:p>
          <w:p w:rsidR="00AE3BD7" w:rsidRPr="00773D35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E3BD7" w:rsidRPr="00773D35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</w:p>
          <w:p w:rsidR="00AE3BD7" w:rsidRPr="00773D35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773D35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t xml:space="preserve">Two (2) </w:t>
            </w:r>
            <w:r w:rsidRPr="00773D35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lastRenderedPageBreak/>
              <w:t>suppliers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AE3BD7" w:rsidRPr="00773D35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</w:p>
          <w:p w:rsidR="00AE3BD7" w:rsidRPr="00773D35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773D35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t xml:space="preserve">Three (3) </w:t>
            </w:r>
            <w:r w:rsidRPr="00773D35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lastRenderedPageBreak/>
              <w:t>suppliers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AE3BD7" w:rsidRPr="00773D35" w:rsidRDefault="00AE3BD7" w:rsidP="006E0416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</w:p>
          <w:p w:rsidR="00AE3BD7" w:rsidRPr="00773D35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773D35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t xml:space="preserve">Five (5) </w:t>
            </w:r>
            <w:r w:rsidRPr="00773D35"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  <w:lastRenderedPageBreak/>
              <w:t>suppliers</w:t>
            </w:r>
          </w:p>
        </w:tc>
        <w:tc>
          <w:tcPr>
            <w:tcW w:w="2441" w:type="dxa"/>
            <w:vMerge/>
          </w:tcPr>
          <w:p w:rsidR="00AE3BD7" w:rsidRPr="00773D35" w:rsidRDefault="00AE3BD7" w:rsidP="006E0416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</w:p>
        </w:tc>
      </w:tr>
      <w:tr w:rsidR="00AE3BD7" w:rsidTr="00BD0668">
        <w:tc>
          <w:tcPr>
            <w:tcW w:w="2410" w:type="dxa"/>
          </w:tcPr>
          <w:p w:rsidR="00AE3BD7" w:rsidRPr="002208D1" w:rsidRDefault="00AE3BD7" w:rsidP="006E0416">
            <w:pPr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lastRenderedPageBreak/>
              <w:t>Atlantis Corporate Travel</w:t>
            </w:r>
          </w:p>
        </w:tc>
        <w:tc>
          <w:tcPr>
            <w:tcW w:w="5043" w:type="dxa"/>
            <w:gridSpan w:val="3"/>
            <w:tcBorders>
              <w:bottom w:val="single" w:sz="4" w:space="0" w:color="000000"/>
            </w:tcBorders>
          </w:tcPr>
          <w:p w:rsidR="00AE3BD7" w:rsidRPr="00CE49F0" w:rsidRDefault="00AE3BD7" w:rsidP="006E04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 xml:space="preserve"> </w:t>
            </w: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R29,047.30</w:t>
            </w:r>
          </w:p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</w:tr>
      <w:tr w:rsidR="00AE3BD7" w:rsidTr="00BD0668">
        <w:tc>
          <w:tcPr>
            <w:tcW w:w="2410" w:type="dxa"/>
          </w:tcPr>
          <w:p w:rsidR="00AE3BD7" w:rsidRPr="002208D1" w:rsidRDefault="00AE3BD7" w:rsidP="006E0416">
            <w:pPr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Duma Travel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</w:tcBorders>
          </w:tcPr>
          <w:p w:rsidR="00AE3BD7" w:rsidRPr="00CE49F0" w:rsidRDefault="00AE3BD7" w:rsidP="006E04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R117,407.90</w:t>
            </w:r>
          </w:p>
        </w:tc>
      </w:tr>
      <w:tr w:rsidR="00AE3BD7" w:rsidTr="00C87CAE">
        <w:tc>
          <w:tcPr>
            <w:tcW w:w="2410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2208D1">
              <w:rPr>
                <w:rFonts w:ascii="Arial" w:hAnsi="Arial" w:cs="Arial"/>
                <w:sz w:val="20"/>
                <w:szCs w:val="20"/>
              </w:rPr>
              <w:t xml:space="preserve">Flight Centre SA (Pty) Ltd               </w:t>
            </w:r>
          </w:p>
        </w:tc>
        <w:tc>
          <w:tcPr>
            <w:tcW w:w="5043" w:type="dxa"/>
            <w:gridSpan w:val="3"/>
          </w:tcPr>
          <w:p w:rsidR="00AE3BD7" w:rsidRPr="00CE49F0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R58,810.18</w:t>
            </w:r>
          </w:p>
        </w:tc>
      </w:tr>
      <w:tr w:rsidR="00AE3BD7" w:rsidTr="00C87CAE">
        <w:tc>
          <w:tcPr>
            <w:tcW w:w="2410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Government Printing Works</w:t>
            </w:r>
          </w:p>
        </w:tc>
        <w:tc>
          <w:tcPr>
            <w:tcW w:w="5043" w:type="dxa"/>
            <w:gridSpan w:val="3"/>
          </w:tcPr>
          <w:p w:rsidR="00AE3BD7" w:rsidRPr="00CE49F0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R749.99</w:t>
            </w:r>
          </w:p>
        </w:tc>
      </w:tr>
      <w:tr w:rsidR="00AE3BD7" w:rsidTr="00C87CAE">
        <w:tc>
          <w:tcPr>
            <w:tcW w:w="2410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IT Squared</w:t>
            </w:r>
          </w:p>
        </w:tc>
        <w:tc>
          <w:tcPr>
            <w:tcW w:w="5043" w:type="dxa"/>
            <w:gridSpan w:val="3"/>
          </w:tcPr>
          <w:p w:rsidR="00AE3BD7" w:rsidRPr="00CE49F0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R12,494.00</w:t>
            </w:r>
          </w:p>
        </w:tc>
      </w:tr>
      <w:tr w:rsidR="00AE3BD7" w:rsidTr="00C87CAE">
        <w:tc>
          <w:tcPr>
            <w:tcW w:w="2410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 xml:space="preserve">Savage, </w:t>
            </w:r>
            <w:proofErr w:type="spellStart"/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Jooste</w:t>
            </w:r>
            <w:proofErr w:type="spellEnd"/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 xml:space="preserve"> &amp; Adams</w:t>
            </w:r>
          </w:p>
        </w:tc>
        <w:tc>
          <w:tcPr>
            <w:tcW w:w="5043" w:type="dxa"/>
            <w:gridSpan w:val="3"/>
          </w:tcPr>
          <w:p w:rsidR="00AE3BD7" w:rsidRPr="00CE49F0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R351,351.30</w:t>
            </w:r>
          </w:p>
        </w:tc>
      </w:tr>
      <w:tr w:rsidR="00AE3BD7" w:rsidTr="00C87CAE">
        <w:tc>
          <w:tcPr>
            <w:tcW w:w="2410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Shred-IT</w:t>
            </w:r>
          </w:p>
        </w:tc>
        <w:tc>
          <w:tcPr>
            <w:tcW w:w="5043" w:type="dxa"/>
            <w:gridSpan w:val="3"/>
          </w:tcPr>
          <w:p w:rsidR="00AE3BD7" w:rsidRPr="00CE49F0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R1,812.60</w:t>
            </w:r>
          </w:p>
        </w:tc>
      </w:tr>
      <w:tr w:rsidR="00AE3BD7" w:rsidTr="00C87CAE">
        <w:tc>
          <w:tcPr>
            <w:tcW w:w="2410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Supreme Travel (Pty) Ltd</w:t>
            </w:r>
          </w:p>
        </w:tc>
        <w:tc>
          <w:tcPr>
            <w:tcW w:w="5043" w:type="dxa"/>
            <w:gridSpan w:val="3"/>
          </w:tcPr>
          <w:p w:rsidR="00AE3BD7" w:rsidRPr="00CE49F0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R42,072.22</w:t>
            </w:r>
          </w:p>
        </w:tc>
      </w:tr>
      <w:tr w:rsidR="00AE3BD7" w:rsidTr="00BD0668">
        <w:tc>
          <w:tcPr>
            <w:tcW w:w="2410" w:type="dxa"/>
          </w:tcPr>
          <w:p w:rsidR="00AE3BD7" w:rsidRPr="00CE49F0" w:rsidRDefault="00AE3BD7" w:rsidP="006E0416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3BD7" w:rsidRPr="002208D1" w:rsidRDefault="00AE3BD7" w:rsidP="006E0416">
            <w:pPr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Fidelity Cash Solutions (Pty) Ltd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AE3BD7" w:rsidRPr="002208D1" w:rsidRDefault="00AE3BD7" w:rsidP="006E0416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R4,213.04</w:t>
            </w:r>
          </w:p>
        </w:tc>
      </w:tr>
      <w:tr w:rsidR="00AE3BD7" w:rsidTr="00C87CAE">
        <w:tc>
          <w:tcPr>
            <w:tcW w:w="2410" w:type="dxa"/>
          </w:tcPr>
          <w:p w:rsidR="00AE3BD7" w:rsidRPr="00CE49F0" w:rsidRDefault="00AE3BD7" w:rsidP="006E0416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560" w:type="dxa"/>
          </w:tcPr>
          <w:p w:rsidR="00AE3BD7" w:rsidRPr="002208D1" w:rsidRDefault="00AE3BD7" w:rsidP="006E0416">
            <w:pPr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Sage VIP</w:t>
            </w:r>
          </w:p>
        </w:tc>
        <w:tc>
          <w:tcPr>
            <w:tcW w:w="3483" w:type="dxa"/>
            <w:gridSpan w:val="2"/>
          </w:tcPr>
          <w:p w:rsidR="00AE3BD7" w:rsidRPr="002208D1" w:rsidRDefault="00AE3BD7" w:rsidP="006E0416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R1,359.45</w:t>
            </w:r>
          </w:p>
        </w:tc>
      </w:tr>
      <w:tr w:rsidR="00AE3BD7" w:rsidTr="00C87CAE">
        <w:tc>
          <w:tcPr>
            <w:tcW w:w="3970" w:type="dxa"/>
            <w:gridSpan w:val="2"/>
          </w:tcPr>
          <w:p w:rsidR="00AE3BD7" w:rsidRPr="002208D1" w:rsidRDefault="00AE3BD7" w:rsidP="006E0416">
            <w:pPr>
              <w:ind w:left="36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842" w:type="dxa"/>
          </w:tcPr>
          <w:p w:rsidR="00AE3BD7" w:rsidRPr="002208D1" w:rsidRDefault="00AE3BD7" w:rsidP="006E0416">
            <w:pPr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Fidelity Cash Solutions (Pty) Ltd</w:t>
            </w:r>
          </w:p>
        </w:tc>
        <w:tc>
          <w:tcPr>
            <w:tcW w:w="1641" w:type="dxa"/>
          </w:tcPr>
          <w:p w:rsidR="00AE3BD7" w:rsidRPr="002208D1" w:rsidRDefault="00AE3BD7" w:rsidP="006E0416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R4,304.24</w:t>
            </w:r>
          </w:p>
        </w:tc>
      </w:tr>
      <w:tr w:rsidR="00AE3BD7" w:rsidTr="00C87CAE">
        <w:tc>
          <w:tcPr>
            <w:tcW w:w="3970" w:type="dxa"/>
            <w:gridSpan w:val="2"/>
          </w:tcPr>
          <w:p w:rsidR="00AE3BD7" w:rsidRPr="002208D1" w:rsidRDefault="00AE3BD7" w:rsidP="006E0416">
            <w:pPr>
              <w:ind w:left="36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842" w:type="dxa"/>
          </w:tcPr>
          <w:p w:rsidR="00AE3BD7" w:rsidRPr="002208D1" w:rsidRDefault="00AE3BD7" w:rsidP="006E0416">
            <w:pPr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SBV Services (Pty) Ltd</w:t>
            </w:r>
          </w:p>
        </w:tc>
        <w:tc>
          <w:tcPr>
            <w:tcW w:w="1641" w:type="dxa"/>
          </w:tcPr>
          <w:p w:rsidR="00AE3BD7" w:rsidRPr="002208D1" w:rsidRDefault="00AE3BD7" w:rsidP="006E0416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R3,287.20</w:t>
            </w:r>
          </w:p>
        </w:tc>
      </w:tr>
      <w:tr w:rsidR="00AE3BD7" w:rsidTr="00C87CAE">
        <w:tc>
          <w:tcPr>
            <w:tcW w:w="3970" w:type="dxa"/>
            <w:gridSpan w:val="2"/>
          </w:tcPr>
          <w:p w:rsidR="00AE3BD7" w:rsidRPr="002208D1" w:rsidRDefault="00AE3BD7" w:rsidP="006E0416">
            <w:pPr>
              <w:ind w:left="36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842" w:type="dxa"/>
          </w:tcPr>
          <w:p w:rsidR="00AE3BD7" w:rsidRPr="002208D1" w:rsidRDefault="00AE3BD7" w:rsidP="006E0416">
            <w:pPr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 xml:space="preserve">Harvey World Travel – </w:t>
            </w:r>
            <w:proofErr w:type="spellStart"/>
            <w:r w:rsidRPr="002208D1">
              <w:rPr>
                <w:rFonts w:ascii="Arial" w:hAnsi="Arial" w:cs="Arial"/>
                <w:sz w:val="20"/>
                <w:szCs w:val="20"/>
                <w:lang w:val="en-ZA" w:eastAsia="x-none"/>
              </w:rPr>
              <w:t>Waterkloof</w:t>
            </w:r>
            <w:proofErr w:type="spellEnd"/>
          </w:p>
        </w:tc>
        <w:tc>
          <w:tcPr>
            <w:tcW w:w="1641" w:type="dxa"/>
          </w:tcPr>
          <w:p w:rsidR="00AE3BD7" w:rsidRPr="002208D1" w:rsidRDefault="00AE3BD7" w:rsidP="006E0416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R40,170.33</w:t>
            </w:r>
          </w:p>
        </w:tc>
      </w:tr>
      <w:tr w:rsidR="00AE3BD7" w:rsidTr="00C87CAE">
        <w:tc>
          <w:tcPr>
            <w:tcW w:w="5812" w:type="dxa"/>
            <w:gridSpan w:val="3"/>
          </w:tcPr>
          <w:p w:rsidR="00AE3BD7" w:rsidRPr="002208D1" w:rsidRDefault="00AE3BD7" w:rsidP="006E0416">
            <w:pPr>
              <w:ind w:left="108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641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2208D1">
              <w:rPr>
                <w:rFonts w:ascii="Arial" w:hAnsi="Arial" w:cs="Arial"/>
                <w:sz w:val="20"/>
                <w:szCs w:val="20"/>
              </w:rPr>
              <w:t>Chubb Security SA (Pty) Ltd</w:t>
            </w: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R3,157.80</w:t>
            </w:r>
          </w:p>
        </w:tc>
      </w:tr>
      <w:tr w:rsidR="00AE3BD7" w:rsidTr="00C87CAE">
        <w:tc>
          <w:tcPr>
            <w:tcW w:w="5812" w:type="dxa"/>
            <w:gridSpan w:val="3"/>
          </w:tcPr>
          <w:p w:rsidR="00AE3BD7" w:rsidRPr="00CE49F0" w:rsidRDefault="00AE3BD7" w:rsidP="006E0416">
            <w:pPr>
              <w:pStyle w:val="ListParagraph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641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8D1">
              <w:rPr>
                <w:rFonts w:ascii="Arial" w:hAnsi="Arial" w:cs="Arial"/>
                <w:sz w:val="20"/>
                <w:szCs w:val="20"/>
              </w:rPr>
              <w:t>Khayalami</w:t>
            </w:r>
            <w:proofErr w:type="spellEnd"/>
            <w:r w:rsidRPr="002208D1">
              <w:rPr>
                <w:rFonts w:ascii="Arial" w:hAnsi="Arial" w:cs="Arial"/>
                <w:sz w:val="20"/>
                <w:szCs w:val="20"/>
              </w:rPr>
              <w:t xml:space="preserve"> Security cc</w:t>
            </w: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R41,952.00</w:t>
            </w:r>
          </w:p>
        </w:tc>
      </w:tr>
      <w:tr w:rsidR="00AE3BD7" w:rsidTr="00C87CAE">
        <w:tc>
          <w:tcPr>
            <w:tcW w:w="5812" w:type="dxa"/>
            <w:gridSpan w:val="3"/>
          </w:tcPr>
          <w:p w:rsidR="00AE3BD7" w:rsidRPr="00CE49F0" w:rsidRDefault="00AE3BD7" w:rsidP="006E0416">
            <w:pPr>
              <w:pStyle w:val="ListParagraph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641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2208D1">
              <w:rPr>
                <w:rFonts w:ascii="Arial" w:hAnsi="Arial" w:cs="Arial"/>
                <w:sz w:val="20"/>
                <w:szCs w:val="20"/>
              </w:rPr>
              <w:t>Magna BC</w:t>
            </w: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R63,270.00</w:t>
            </w:r>
          </w:p>
        </w:tc>
      </w:tr>
      <w:tr w:rsidR="00AE3BD7" w:rsidTr="00C87CAE">
        <w:tc>
          <w:tcPr>
            <w:tcW w:w="5812" w:type="dxa"/>
            <w:gridSpan w:val="3"/>
          </w:tcPr>
          <w:p w:rsidR="00AE3BD7" w:rsidRPr="00CE49F0" w:rsidRDefault="00AE3BD7" w:rsidP="006E0416">
            <w:pPr>
              <w:pStyle w:val="ListParagraph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641" w:type="dxa"/>
          </w:tcPr>
          <w:p w:rsidR="00AE3BD7" w:rsidRPr="002208D1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8D1">
              <w:rPr>
                <w:rFonts w:ascii="Arial" w:hAnsi="Arial" w:cs="Arial"/>
                <w:sz w:val="20"/>
                <w:szCs w:val="20"/>
              </w:rPr>
              <w:t>Mdluli</w:t>
            </w:r>
            <w:proofErr w:type="spellEnd"/>
            <w:r w:rsidRPr="002208D1">
              <w:rPr>
                <w:rFonts w:ascii="Arial" w:hAnsi="Arial" w:cs="Arial"/>
                <w:sz w:val="20"/>
                <w:szCs w:val="20"/>
              </w:rPr>
              <w:t xml:space="preserve"> Sharp Office Automation</w:t>
            </w: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t>R17,978.78</w:t>
            </w:r>
          </w:p>
        </w:tc>
      </w:tr>
      <w:tr w:rsidR="00AE3BD7" w:rsidTr="00C87CAE">
        <w:tc>
          <w:tcPr>
            <w:tcW w:w="5812" w:type="dxa"/>
            <w:gridSpan w:val="3"/>
          </w:tcPr>
          <w:p w:rsidR="00AE3BD7" w:rsidRPr="00CE49F0" w:rsidRDefault="00AE3BD7" w:rsidP="006E0416">
            <w:pPr>
              <w:pStyle w:val="ListParagraph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</w:p>
        </w:tc>
        <w:tc>
          <w:tcPr>
            <w:tcW w:w="1641" w:type="dxa"/>
          </w:tcPr>
          <w:p w:rsidR="00AE3BD7" w:rsidRDefault="00AE3BD7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2208D1">
              <w:rPr>
                <w:rFonts w:ascii="Arial" w:hAnsi="Arial" w:cs="Arial"/>
                <w:sz w:val="20"/>
                <w:szCs w:val="20"/>
              </w:rPr>
              <w:t>Orange Fox Security Systems</w:t>
            </w:r>
          </w:p>
          <w:p w:rsidR="00B15D03" w:rsidRDefault="00B15D03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5D03" w:rsidRPr="002208D1" w:rsidRDefault="00B15D03" w:rsidP="006E041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AE3BD7" w:rsidRPr="00CE49F0" w:rsidRDefault="00AE3BD7" w:rsidP="006E041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CE49F0">
              <w:rPr>
                <w:rFonts w:ascii="Arial" w:hAnsi="Arial" w:cs="Arial"/>
                <w:sz w:val="20"/>
                <w:szCs w:val="20"/>
                <w:lang w:val="en-ZA" w:eastAsia="x-none"/>
              </w:rPr>
              <w:lastRenderedPageBreak/>
              <w:t>R3,921.09</w:t>
            </w:r>
          </w:p>
        </w:tc>
      </w:tr>
    </w:tbl>
    <w:p w:rsidR="009204D0" w:rsidRDefault="006E0416" w:rsidP="008C51D8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(ii) RAF’</w:t>
      </w:r>
    </w:p>
    <w:p w:rsidR="003813DA" w:rsidRDefault="003813DA" w:rsidP="003813DA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b/>
        </w:rPr>
      </w:pPr>
    </w:p>
    <w:tbl>
      <w:tblPr>
        <w:tblW w:w="10132" w:type="dxa"/>
        <w:tblInd w:w="-147" w:type="dxa"/>
        <w:tblLook w:val="04A0" w:firstRow="1" w:lastRow="0" w:firstColumn="1" w:lastColumn="0" w:noHBand="0" w:noVBand="1"/>
      </w:tblPr>
      <w:tblGrid>
        <w:gridCol w:w="3294"/>
        <w:gridCol w:w="1843"/>
        <w:gridCol w:w="1660"/>
        <w:gridCol w:w="1614"/>
        <w:gridCol w:w="1721"/>
      </w:tblGrid>
      <w:tr w:rsidR="003813DA" w:rsidTr="00D31ED4">
        <w:tc>
          <w:tcPr>
            <w:tcW w:w="3294" w:type="dxa"/>
            <w:vMerge w:val="restart"/>
          </w:tcPr>
          <w:p w:rsidR="003813DA" w:rsidRPr="00C22BD3" w:rsidRDefault="003813DA" w:rsidP="003813DA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ind w:left="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Pr="005F4F57">
              <w:rPr>
                <w:rFonts w:ascii="Arial" w:hAnsi="Arial" w:cs="Arial"/>
              </w:rPr>
              <w:t xml:space="preserve">The total number of supplier invoices that </w:t>
            </w:r>
            <w:r>
              <w:rPr>
                <w:rFonts w:ascii="Arial" w:hAnsi="Arial" w:cs="Arial"/>
              </w:rPr>
              <w:t xml:space="preserve">are currently loaded for payment and </w:t>
            </w:r>
            <w:r w:rsidRPr="005F4F57">
              <w:rPr>
                <w:rFonts w:ascii="Arial" w:hAnsi="Arial" w:cs="Arial"/>
              </w:rPr>
              <w:t xml:space="preserve">remain unpaid by the Road Accident Fund for more than </w:t>
            </w:r>
          </w:p>
        </w:tc>
        <w:tc>
          <w:tcPr>
            <w:tcW w:w="1843" w:type="dxa"/>
          </w:tcPr>
          <w:p w:rsidR="003813DA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F4F57">
              <w:rPr>
                <w:rFonts w:ascii="Arial" w:hAnsi="Arial" w:cs="Arial"/>
              </w:rPr>
              <w:t>(aa) 30 days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60" w:type="dxa"/>
          </w:tcPr>
          <w:p w:rsidR="003813DA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F4F57">
              <w:rPr>
                <w:rFonts w:ascii="Arial" w:hAnsi="Arial" w:cs="Arial"/>
              </w:rPr>
              <w:t>(bb) 60 days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14" w:type="dxa"/>
          </w:tcPr>
          <w:p w:rsidR="003813DA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F4F57">
              <w:rPr>
                <w:rFonts w:ascii="Arial" w:hAnsi="Arial" w:cs="Arial"/>
              </w:rPr>
              <w:t>(cc) 90 days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721" w:type="dxa"/>
          </w:tcPr>
          <w:p w:rsidR="003813DA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F4F57">
              <w:rPr>
                <w:rFonts w:ascii="Arial" w:hAnsi="Arial" w:cs="Arial"/>
              </w:rPr>
              <w:t>(</w:t>
            </w:r>
            <w:proofErr w:type="spellStart"/>
            <w:r w:rsidRPr="005F4F57">
              <w:rPr>
                <w:rFonts w:ascii="Arial" w:hAnsi="Arial" w:cs="Arial"/>
              </w:rPr>
              <w:t>dd</w:t>
            </w:r>
            <w:proofErr w:type="spellEnd"/>
            <w:r w:rsidRPr="005F4F57">
              <w:rPr>
                <w:rFonts w:ascii="Arial" w:hAnsi="Arial" w:cs="Arial"/>
              </w:rPr>
              <w:t>) 120 days</w:t>
            </w:r>
            <w:r>
              <w:rPr>
                <w:rFonts w:ascii="Arial" w:hAnsi="Arial" w:cs="Arial"/>
              </w:rPr>
              <w:t xml:space="preserve"> is</w:t>
            </w:r>
            <w:r w:rsidRPr="005F4F57">
              <w:rPr>
                <w:rFonts w:ascii="Arial" w:hAnsi="Arial" w:cs="Arial"/>
              </w:rPr>
              <w:t xml:space="preserve"> </w:t>
            </w:r>
          </w:p>
        </w:tc>
      </w:tr>
      <w:tr w:rsidR="003813DA" w:rsidTr="00D31ED4">
        <w:tc>
          <w:tcPr>
            <w:tcW w:w="3294" w:type="dxa"/>
            <w:vMerge/>
          </w:tcPr>
          <w:p w:rsidR="003813DA" w:rsidRPr="005F4F57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13DA" w:rsidRPr="00C641B1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2712,</w:t>
            </w:r>
          </w:p>
        </w:tc>
        <w:tc>
          <w:tcPr>
            <w:tcW w:w="1660" w:type="dxa"/>
          </w:tcPr>
          <w:p w:rsidR="003813DA" w:rsidRPr="00C641B1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</w:t>
            </w:r>
          </w:p>
        </w:tc>
        <w:tc>
          <w:tcPr>
            <w:tcW w:w="1614" w:type="dxa"/>
          </w:tcPr>
          <w:p w:rsidR="003813DA" w:rsidRPr="00C641B1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</w:t>
            </w:r>
          </w:p>
        </w:tc>
        <w:tc>
          <w:tcPr>
            <w:tcW w:w="1721" w:type="dxa"/>
          </w:tcPr>
          <w:p w:rsidR="003813DA" w:rsidRPr="00C641B1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149, </w:t>
            </w:r>
          </w:p>
        </w:tc>
      </w:tr>
      <w:tr w:rsidR="003813DA" w:rsidTr="00D31ED4">
        <w:trPr>
          <w:trHeight w:val="506"/>
        </w:trPr>
        <w:tc>
          <w:tcPr>
            <w:tcW w:w="3294" w:type="dxa"/>
          </w:tcPr>
          <w:p w:rsidR="003813DA" w:rsidRPr="005F4F57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</w:t>
            </w:r>
            <w:r w:rsidRPr="00C732BB">
              <w:rPr>
                <w:rFonts w:ascii="Arial" w:hAnsi="Arial" w:cs="Arial"/>
              </w:rPr>
              <w:t>(b) the total amount outstanding in each case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843" w:type="dxa"/>
          </w:tcPr>
          <w:p w:rsidR="003813DA" w:rsidRPr="00C641B1" w:rsidRDefault="003813DA" w:rsidP="006E041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R35,046,966.09,</w:t>
            </w:r>
          </w:p>
        </w:tc>
        <w:tc>
          <w:tcPr>
            <w:tcW w:w="1660" w:type="dxa"/>
          </w:tcPr>
          <w:p w:rsidR="003813DA" w:rsidRPr="00C641B1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R4,130,891.05</w:t>
            </w:r>
          </w:p>
        </w:tc>
        <w:tc>
          <w:tcPr>
            <w:tcW w:w="1614" w:type="dxa"/>
          </w:tcPr>
          <w:p w:rsidR="003813DA" w:rsidRPr="00C641B1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R2,497,459, and</w:t>
            </w:r>
          </w:p>
        </w:tc>
        <w:tc>
          <w:tcPr>
            <w:tcW w:w="1721" w:type="dxa"/>
          </w:tcPr>
          <w:p w:rsidR="003813DA" w:rsidRPr="00C641B1" w:rsidRDefault="003813DA" w:rsidP="006E041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</w:t>
            </w:r>
            <w:proofErr w:type="gramStart"/>
            <w:r>
              <w:rPr>
                <w:rFonts w:ascii="Arial" w:hAnsi="Arial" w:cs="Arial"/>
              </w:rPr>
              <w:t>,339,787.99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1A495D" w:rsidRPr="002829D7" w:rsidRDefault="001A495D" w:rsidP="001A495D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b/>
        </w:rPr>
      </w:pPr>
    </w:p>
    <w:p w:rsidR="00D31ED4" w:rsidRPr="00913FA8" w:rsidRDefault="00D31ED4" w:rsidP="00913FA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(ii) RTIA’</w:t>
      </w:r>
    </w:p>
    <w:p w:rsidR="00D31ED4" w:rsidRPr="00D31ED4" w:rsidRDefault="00D31ED4" w:rsidP="00D31ED4">
      <w:pPr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>(a) (</w:t>
      </w:r>
      <w:proofErr w:type="gramStart"/>
      <w:r w:rsidRPr="00D31ED4">
        <w:rPr>
          <w:rFonts w:ascii="Arial" w:eastAsia="MS Mincho" w:hAnsi="Arial" w:cs="Arial"/>
        </w:rPr>
        <w:t>ii</w:t>
      </w:r>
      <w:proofErr w:type="gramEnd"/>
      <w:r w:rsidRPr="00D31ED4">
        <w:rPr>
          <w:rFonts w:ascii="Arial" w:eastAsia="MS Mincho" w:hAnsi="Arial" w:cs="Arial"/>
        </w:rPr>
        <w:t xml:space="preserve">) </w:t>
      </w:r>
      <w:r w:rsidR="008C51D8">
        <w:rPr>
          <w:rFonts w:ascii="Arial" w:eastAsia="MS Mincho" w:hAnsi="Arial" w:cs="Arial"/>
        </w:rPr>
        <w:t xml:space="preserve">Road Traffic Infringement Agency has </w:t>
      </w:r>
    </w:p>
    <w:p w:rsidR="00D31ED4" w:rsidRPr="00D31ED4" w:rsidRDefault="00D31ED4" w:rsidP="00D31ED4">
      <w:pPr>
        <w:ind w:firstLine="720"/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>(</w:t>
      </w:r>
      <w:proofErr w:type="gramStart"/>
      <w:r w:rsidRPr="00D31ED4">
        <w:rPr>
          <w:rFonts w:ascii="Arial" w:eastAsia="MS Mincho" w:hAnsi="Arial" w:cs="Arial"/>
        </w:rPr>
        <w:t>aa</w:t>
      </w:r>
      <w:proofErr w:type="gramEnd"/>
      <w:r w:rsidRPr="00D31ED4">
        <w:rPr>
          <w:rFonts w:ascii="Arial" w:eastAsia="MS Mincho" w:hAnsi="Arial" w:cs="Arial"/>
        </w:rPr>
        <w:t>) 30 days = 1</w:t>
      </w:r>
    </w:p>
    <w:p w:rsidR="00D31ED4" w:rsidRPr="00D31ED4" w:rsidRDefault="00D31ED4" w:rsidP="00D31ED4">
      <w:pPr>
        <w:ind w:firstLine="720"/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>(</w:t>
      </w:r>
      <w:proofErr w:type="gramStart"/>
      <w:r w:rsidRPr="00D31ED4">
        <w:rPr>
          <w:rFonts w:ascii="Arial" w:eastAsia="MS Mincho" w:hAnsi="Arial" w:cs="Arial"/>
        </w:rPr>
        <w:t>bb</w:t>
      </w:r>
      <w:proofErr w:type="gramEnd"/>
      <w:r w:rsidRPr="00D31ED4">
        <w:rPr>
          <w:rFonts w:ascii="Arial" w:eastAsia="MS Mincho" w:hAnsi="Arial" w:cs="Arial"/>
        </w:rPr>
        <w:t xml:space="preserve">) 60 days =1 </w:t>
      </w:r>
    </w:p>
    <w:p w:rsidR="00D31ED4" w:rsidRPr="00D31ED4" w:rsidRDefault="00D31ED4" w:rsidP="00D31ED4">
      <w:pPr>
        <w:ind w:firstLine="720"/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>(cc) 90 days = 1</w:t>
      </w:r>
    </w:p>
    <w:p w:rsidR="00D31ED4" w:rsidRPr="00D31ED4" w:rsidRDefault="00D31ED4" w:rsidP="00D31ED4">
      <w:pPr>
        <w:ind w:firstLine="720"/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>(</w:t>
      </w:r>
      <w:proofErr w:type="spellStart"/>
      <w:proofErr w:type="gramStart"/>
      <w:r w:rsidRPr="00D31ED4">
        <w:rPr>
          <w:rFonts w:ascii="Arial" w:eastAsia="MS Mincho" w:hAnsi="Arial" w:cs="Arial"/>
        </w:rPr>
        <w:t>dd</w:t>
      </w:r>
      <w:proofErr w:type="spellEnd"/>
      <w:proofErr w:type="gramEnd"/>
      <w:r w:rsidRPr="00D31ED4">
        <w:rPr>
          <w:rFonts w:ascii="Arial" w:eastAsia="MS Mincho" w:hAnsi="Arial" w:cs="Arial"/>
        </w:rPr>
        <w:t>) 120 days = 1</w:t>
      </w:r>
    </w:p>
    <w:p w:rsidR="00D31ED4" w:rsidRPr="00D31ED4" w:rsidRDefault="00D31ED4" w:rsidP="00D31ED4">
      <w:pPr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 xml:space="preserve">(b) </w:t>
      </w:r>
      <w:proofErr w:type="gramStart"/>
      <w:r w:rsidRPr="00D31ED4">
        <w:rPr>
          <w:rFonts w:ascii="Arial" w:eastAsia="MS Mincho" w:hAnsi="Arial" w:cs="Arial"/>
        </w:rPr>
        <w:t>what</w:t>
      </w:r>
      <w:proofErr w:type="gramEnd"/>
      <w:r w:rsidRPr="00D31ED4">
        <w:rPr>
          <w:rFonts w:ascii="Arial" w:eastAsia="MS Mincho" w:hAnsi="Arial" w:cs="Arial"/>
        </w:rPr>
        <w:t xml:space="preserve"> is the total amount outstanding in each case?</w:t>
      </w:r>
    </w:p>
    <w:p w:rsidR="00D31ED4" w:rsidRPr="00D31ED4" w:rsidRDefault="00D31ED4" w:rsidP="00D31ED4">
      <w:pPr>
        <w:ind w:firstLine="720"/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>(</w:t>
      </w:r>
      <w:proofErr w:type="gramStart"/>
      <w:r w:rsidRPr="00D31ED4">
        <w:rPr>
          <w:rFonts w:ascii="Arial" w:eastAsia="MS Mincho" w:hAnsi="Arial" w:cs="Arial"/>
        </w:rPr>
        <w:t>aa</w:t>
      </w:r>
      <w:proofErr w:type="gramEnd"/>
      <w:r w:rsidRPr="00D31ED4">
        <w:rPr>
          <w:rFonts w:ascii="Arial" w:eastAsia="MS Mincho" w:hAnsi="Arial" w:cs="Arial"/>
        </w:rPr>
        <w:t>) 30 days = R63 428.22</w:t>
      </w:r>
    </w:p>
    <w:p w:rsidR="00D31ED4" w:rsidRPr="00D31ED4" w:rsidRDefault="00D31ED4" w:rsidP="00D31ED4">
      <w:pPr>
        <w:ind w:firstLine="720"/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>(</w:t>
      </w:r>
      <w:proofErr w:type="gramStart"/>
      <w:r w:rsidRPr="00D31ED4">
        <w:rPr>
          <w:rFonts w:ascii="Arial" w:eastAsia="MS Mincho" w:hAnsi="Arial" w:cs="Arial"/>
        </w:rPr>
        <w:t>bb</w:t>
      </w:r>
      <w:proofErr w:type="gramEnd"/>
      <w:r w:rsidRPr="00D31ED4">
        <w:rPr>
          <w:rFonts w:ascii="Arial" w:eastAsia="MS Mincho" w:hAnsi="Arial" w:cs="Arial"/>
        </w:rPr>
        <w:t>) 60 days = R21 204.00</w:t>
      </w:r>
    </w:p>
    <w:p w:rsidR="00D31ED4" w:rsidRPr="00D31ED4" w:rsidRDefault="00D31ED4" w:rsidP="00D31ED4">
      <w:pPr>
        <w:ind w:firstLine="720"/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>(cc) 90 days = R21 204.00</w:t>
      </w:r>
    </w:p>
    <w:p w:rsidR="00D31ED4" w:rsidRPr="00D31ED4" w:rsidRDefault="00D31ED4" w:rsidP="00D31ED4">
      <w:pPr>
        <w:ind w:firstLine="720"/>
        <w:rPr>
          <w:rFonts w:ascii="Arial" w:eastAsia="MS Mincho" w:hAnsi="Arial" w:cs="Arial"/>
        </w:rPr>
      </w:pPr>
      <w:r w:rsidRPr="00D31ED4">
        <w:rPr>
          <w:rFonts w:ascii="Arial" w:eastAsia="MS Mincho" w:hAnsi="Arial" w:cs="Arial"/>
        </w:rPr>
        <w:t>(</w:t>
      </w:r>
      <w:proofErr w:type="spellStart"/>
      <w:proofErr w:type="gramStart"/>
      <w:r w:rsidRPr="00D31ED4">
        <w:rPr>
          <w:rFonts w:ascii="Arial" w:eastAsia="MS Mincho" w:hAnsi="Arial" w:cs="Arial"/>
        </w:rPr>
        <w:t>dd</w:t>
      </w:r>
      <w:proofErr w:type="spellEnd"/>
      <w:proofErr w:type="gramEnd"/>
      <w:r w:rsidRPr="00D31ED4">
        <w:rPr>
          <w:rFonts w:ascii="Arial" w:eastAsia="MS Mincho" w:hAnsi="Arial" w:cs="Arial"/>
        </w:rPr>
        <w:t>) 120 days = R24 million</w:t>
      </w:r>
    </w:p>
    <w:p w:rsidR="00D31ED4" w:rsidRPr="00D31ED4" w:rsidRDefault="00D31ED4" w:rsidP="00D31ED4">
      <w:pPr>
        <w:rPr>
          <w:rFonts w:ascii="Calibri" w:eastAsia="MS Mincho" w:hAnsi="Calibri" w:cs="Times New Roman"/>
          <w:b/>
          <w:i/>
          <w:lang w:val="en-ZA" w:eastAsia="x-none"/>
        </w:rPr>
      </w:pPr>
      <w:r w:rsidRPr="00D31ED4">
        <w:rPr>
          <w:rFonts w:ascii="Calibri" w:eastAsia="MS Mincho" w:hAnsi="Calibri" w:cs="Times New Roman"/>
          <w:b/>
          <w:i/>
          <w:lang w:val="en-ZA" w:eastAsia="x-none"/>
        </w:rPr>
        <w:t>Notes:</w:t>
      </w:r>
    </w:p>
    <w:p w:rsidR="00D31ED4" w:rsidRPr="00D31ED4" w:rsidRDefault="00D31ED4" w:rsidP="00D31ED4">
      <w:pPr>
        <w:rPr>
          <w:rFonts w:ascii="Calibri" w:eastAsia="MS Mincho" w:hAnsi="Calibri" w:cs="Times New Roman"/>
          <w:lang w:val="en-ZA" w:eastAsia="x-none"/>
        </w:rPr>
      </w:pPr>
      <w:r w:rsidRPr="00D31ED4">
        <w:rPr>
          <w:rFonts w:ascii="Calibri" w:eastAsia="MS Mincho" w:hAnsi="Calibri" w:cs="Times New Roman"/>
          <w:b/>
          <w:i/>
          <w:lang w:val="en-ZA" w:eastAsia="x-none"/>
        </w:rPr>
        <w:t xml:space="preserve">120 days category </w:t>
      </w:r>
      <w:r w:rsidRPr="00D31ED4">
        <w:rPr>
          <w:rFonts w:ascii="Calibri" w:eastAsia="MS Mincho" w:hAnsi="Calibri" w:cs="Times New Roman"/>
          <w:lang w:val="en-ZA" w:eastAsia="x-none"/>
        </w:rPr>
        <w:t>- The R24 million outstanding relates to the SAPO balance that was in dispute since 2015-16 financial year relating to AARTO notices served.</w:t>
      </w:r>
    </w:p>
    <w:p w:rsidR="00D31ED4" w:rsidRPr="00D31ED4" w:rsidRDefault="00D31ED4" w:rsidP="00D31ED4">
      <w:pPr>
        <w:rPr>
          <w:rFonts w:ascii="Calibri" w:eastAsia="MS Mincho" w:hAnsi="Calibri" w:cs="Times New Roman"/>
          <w:b/>
          <w:i/>
          <w:lang w:val="en-ZA" w:eastAsia="x-none"/>
        </w:rPr>
      </w:pPr>
      <w:r w:rsidRPr="00D31ED4">
        <w:rPr>
          <w:rFonts w:ascii="Calibri" w:eastAsia="MS Mincho" w:hAnsi="Calibri" w:cs="Times New Roman"/>
          <w:b/>
          <w:i/>
          <w:lang w:val="en-ZA" w:eastAsia="x-none"/>
        </w:rPr>
        <w:t xml:space="preserve">30 - 90 days category – </w:t>
      </w:r>
      <w:r w:rsidRPr="00D31ED4">
        <w:rPr>
          <w:rFonts w:ascii="Calibri" w:eastAsia="MS Mincho" w:hAnsi="Calibri" w:cs="Times New Roman"/>
          <w:lang w:val="en-ZA" w:eastAsia="x-none"/>
        </w:rPr>
        <w:t>TheR105 836.22 relates to the services that were undertaken prior to the service level agreement being concluded. The services were undertaken based on the issued order to the supplier.</w:t>
      </w:r>
    </w:p>
    <w:p w:rsidR="008C51D8" w:rsidRPr="002829D7" w:rsidRDefault="008C51D8" w:rsidP="001A495D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b/>
        </w:rPr>
      </w:pPr>
    </w:p>
    <w:p w:rsidR="009204D0" w:rsidRDefault="009204D0" w:rsidP="008C51D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</w:rPr>
      </w:pPr>
      <w:r w:rsidRPr="002829D7">
        <w:rPr>
          <w:rFonts w:ascii="Arial" w:hAnsi="Arial" w:cs="Arial"/>
          <w:b/>
        </w:rPr>
        <w:t>(ii) RTMC’</w:t>
      </w:r>
    </w:p>
    <w:p w:rsidR="00B95D6E" w:rsidRPr="00B95D6E" w:rsidRDefault="00B95D6E" w:rsidP="008C51D8">
      <w:pPr>
        <w:pStyle w:val="ListParagraph"/>
        <w:ind w:left="2160"/>
        <w:rPr>
          <w:lang w:val="en-ZA" w:eastAsia="x-none"/>
        </w:rPr>
      </w:pPr>
    </w:p>
    <w:tbl>
      <w:tblPr>
        <w:tblW w:w="10201" w:type="dxa"/>
        <w:tblInd w:w="-425" w:type="dxa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559"/>
        <w:gridCol w:w="1418"/>
        <w:gridCol w:w="1842"/>
      </w:tblGrid>
      <w:tr w:rsidR="00B95D6E" w:rsidRPr="007B6C12" w:rsidTr="006E0416">
        <w:trPr>
          <w:trHeight w:val="2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Supplier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30 Days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60 Days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90 Days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120 Days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Total </w:t>
            </w:r>
          </w:p>
        </w:tc>
      </w:tr>
      <w:tr w:rsidR="00B95D6E" w:rsidRPr="007B6C12" w:rsidTr="006E0416">
        <w:trPr>
          <w:trHeight w:val="2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63 140,80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</w:t>
            </w: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178 351,10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</w:t>
            </w: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248 083,32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489 575,22 </w:t>
            </w:r>
          </w:p>
        </w:tc>
      </w:tr>
      <w:tr w:rsidR="00B95D6E" w:rsidRPr="007B6C12" w:rsidTr="006E0416">
        <w:trPr>
          <w:trHeight w:val="2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Mafuyeka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Attorneys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</w:t>
            </w: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164 640,00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164 640,00 </w:t>
            </w:r>
          </w:p>
        </w:tc>
      </w:tr>
      <w:tr w:rsidR="00B95D6E" w:rsidRPr="007B6C12" w:rsidTr="006E0416">
        <w:trPr>
          <w:trHeight w:val="2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Media24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19 152,00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19 152,00 </w:t>
            </w:r>
          </w:p>
        </w:tc>
      </w:tr>
      <w:tr w:rsidR="00B95D6E" w:rsidRPr="007B6C12" w:rsidTr="006E0416">
        <w:trPr>
          <w:trHeight w:val="2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Nishlan</w:t>
            </w:r>
            <w:proofErr w:type="spellEnd"/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Moodley</w:t>
            </w:r>
            <w:proofErr w:type="spellEnd"/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(all invoices)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</w:t>
            </w: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157 316,58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157 316,58 </w:t>
            </w:r>
          </w:p>
        </w:tc>
      </w:tr>
      <w:tr w:rsidR="00B95D6E" w:rsidRPr="007B6C12" w:rsidTr="006E0416">
        <w:trPr>
          <w:trHeight w:val="2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Partners in Travel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</w:t>
            </w: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4 963,56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4 963,56 </w:t>
            </w:r>
          </w:p>
        </w:tc>
      </w:tr>
      <w:tr w:rsidR="00B95D6E" w:rsidRPr="007B6C12" w:rsidTr="006E0416">
        <w:trPr>
          <w:trHeight w:val="2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Sail Rights Commercialization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</w:t>
            </w: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965 675,08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965 675,08 </w:t>
            </w:r>
          </w:p>
        </w:tc>
      </w:tr>
      <w:tr w:rsidR="00B95D6E" w:rsidRPr="007B6C12" w:rsidTr="006E0416">
        <w:trPr>
          <w:trHeight w:val="29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8C51D8" w:rsidRDefault="008C51D8" w:rsidP="008C51D8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8C51D8">
              <w:rPr>
                <w:rFonts w:ascii="Arial" w:eastAsia="Times New Roman" w:hAnsi="Arial" w:cs="Arial"/>
                <w:b/>
                <w:color w:val="000000"/>
                <w:lang w:eastAsia="en-ZA"/>
              </w:rPr>
              <w:t>(b)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    1 311 747,22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       63 140,80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  </w:t>
            </w: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178 351,10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  </w:t>
            </w: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248 083,32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1 801 322,44</w:t>
            </w:r>
          </w:p>
        </w:tc>
      </w:tr>
      <w:tr w:rsidR="00B95D6E" w:rsidRPr="007B6C12" w:rsidTr="006E0416">
        <w:trPr>
          <w:trHeight w:val="29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Number of invoices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       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    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    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        1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6E" w:rsidRPr="007B6C12" w:rsidRDefault="00B95D6E" w:rsidP="006E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B6C1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        8 </w:t>
            </w:r>
          </w:p>
        </w:tc>
      </w:tr>
    </w:tbl>
    <w:p w:rsidR="001A495D" w:rsidRPr="00AF701E" w:rsidRDefault="001A495D" w:rsidP="00AF70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9204D0" w:rsidRPr="002829D7" w:rsidRDefault="006E0416" w:rsidP="008C51D8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(ii) SANRAL</w:t>
      </w:r>
    </w:p>
    <w:p w:rsidR="009204D0" w:rsidRPr="009204D0" w:rsidRDefault="009204D0" w:rsidP="009204D0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2976"/>
        <w:gridCol w:w="2205"/>
      </w:tblGrid>
      <w:tr w:rsidR="003D7982" w:rsidTr="00AF701E">
        <w:tc>
          <w:tcPr>
            <w:tcW w:w="3545" w:type="dxa"/>
          </w:tcPr>
          <w:p w:rsidR="003D7982" w:rsidRDefault="003D7982" w:rsidP="003D798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ZA" w:eastAsia="x-none"/>
              </w:rPr>
            </w:pPr>
            <w:r>
              <w:rPr>
                <w:rFonts w:ascii="Arial" w:hAnsi="Arial" w:cs="Arial"/>
                <w:b/>
                <w:lang w:val="en-ZA" w:eastAsia="x-none"/>
              </w:rPr>
              <w:t>Days outstanding</w:t>
            </w:r>
          </w:p>
        </w:tc>
        <w:tc>
          <w:tcPr>
            <w:tcW w:w="2976" w:type="dxa"/>
          </w:tcPr>
          <w:p w:rsidR="003D7982" w:rsidRDefault="003D7982" w:rsidP="003D7982">
            <w:pPr>
              <w:pStyle w:val="ListParagraph"/>
              <w:numPr>
                <w:ilvl w:val="0"/>
                <w:numId w:val="23"/>
              </w:numPr>
              <w:ind w:left="452" w:hanging="425"/>
              <w:rPr>
                <w:rFonts w:ascii="Arial" w:hAnsi="Arial" w:cs="Arial"/>
                <w:b/>
                <w:lang w:val="en-ZA" w:eastAsia="x-none"/>
              </w:rPr>
            </w:pPr>
            <w:r>
              <w:rPr>
                <w:rFonts w:ascii="Arial" w:hAnsi="Arial" w:cs="Arial"/>
                <w:b/>
                <w:lang w:val="en-ZA" w:eastAsia="x-none"/>
              </w:rPr>
              <w:t>Number of invoices</w:t>
            </w:r>
          </w:p>
        </w:tc>
        <w:tc>
          <w:tcPr>
            <w:tcW w:w="2205" w:type="dxa"/>
          </w:tcPr>
          <w:p w:rsidR="003D7982" w:rsidRDefault="003D7982" w:rsidP="003D7982">
            <w:pPr>
              <w:pStyle w:val="ListParagraph"/>
              <w:ind w:left="0" w:hanging="29"/>
              <w:jc w:val="center"/>
              <w:rPr>
                <w:rFonts w:ascii="Arial" w:hAnsi="Arial" w:cs="Arial"/>
                <w:b/>
                <w:lang w:val="en-ZA" w:eastAsia="x-none"/>
              </w:rPr>
            </w:pPr>
            <w:r>
              <w:rPr>
                <w:rFonts w:ascii="Arial" w:hAnsi="Arial" w:cs="Arial"/>
                <w:b/>
                <w:lang w:val="en-ZA" w:eastAsia="x-none"/>
              </w:rPr>
              <w:t>Amount (R)</w:t>
            </w:r>
          </w:p>
        </w:tc>
      </w:tr>
      <w:tr w:rsidR="003D7982" w:rsidTr="00AF701E">
        <w:trPr>
          <w:trHeight w:val="127"/>
        </w:trPr>
        <w:tc>
          <w:tcPr>
            <w:tcW w:w="3545" w:type="dxa"/>
          </w:tcPr>
          <w:p w:rsidR="003D7982" w:rsidRPr="00B82A35" w:rsidRDefault="003D7982" w:rsidP="003D7982">
            <w:pPr>
              <w:pStyle w:val="ListParagraph"/>
              <w:ind w:left="0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(aa) </w:t>
            </w:r>
            <w:r w:rsidRPr="00B82A35">
              <w:rPr>
                <w:rFonts w:ascii="Arial" w:hAnsi="Arial" w:cs="Arial"/>
                <w:lang w:val="en-ZA" w:eastAsia="x-none"/>
              </w:rPr>
              <w:t>30 – 60 days</w:t>
            </w:r>
          </w:p>
        </w:tc>
        <w:tc>
          <w:tcPr>
            <w:tcW w:w="2976" w:type="dxa"/>
          </w:tcPr>
          <w:p w:rsidR="003D7982" w:rsidRPr="00B82A35" w:rsidRDefault="003D7982" w:rsidP="003D7982">
            <w:pPr>
              <w:pStyle w:val="ListParagraph"/>
              <w:ind w:left="0"/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29</w:t>
            </w:r>
          </w:p>
        </w:tc>
        <w:tc>
          <w:tcPr>
            <w:tcW w:w="2205" w:type="dxa"/>
          </w:tcPr>
          <w:p w:rsidR="003D7982" w:rsidRPr="00B82A35" w:rsidRDefault="003D7982" w:rsidP="003D7982">
            <w:pPr>
              <w:pStyle w:val="ListParagraph"/>
              <w:ind w:left="0"/>
              <w:jc w:val="right"/>
              <w:rPr>
                <w:rFonts w:ascii="Arial" w:hAnsi="Arial" w:cs="Arial"/>
                <w:lang w:val="en-ZA" w:eastAsia="x-none"/>
              </w:rPr>
            </w:pPr>
            <w:r w:rsidRPr="00B82A35">
              <w:rPr>
                <w:rFonts w:ascii="Arial" w:hAnsi="Arial" w:cs="Arial"/>
                <w:lang w:val="en-ZA" w:eastAsia="x-none"/>
              </w:rPr>
              <w:t>6 601 603</w:t>
            </w:r>
          </w:p>
        </w:tc>
      </w:tr>
      <w:tr w:rsidR="003D7982" w:rsidTr="00AF701E">
        <w:tc>
          <w:tcPr>
            <w:tcW w:w="3545" w:type="dxa"/>
          </w:tcPr>
          <w:p w:rsidR="003D7982" w:rsidRPr="00B82A35" w:rsidRDefault="003D7982" w:rsidP="003D7982">
            <w:pPr>
              <w:pStyle w:val="ListParagraph"/>
              <w:ind w:left="0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(bb) </w:t>
            </w:r>
            <w:r w:rsidRPr="00B82A35">
              <w:rPr>
                <w:rFonts w:ascii="Arial" w:hAnsi="Arial" w:cs="Arial"/>
                <w:lang w:val="en-ZA" w:eastAsia="x-none"/>
              </w:rPr>
              <w:t>60 – 90 days</w:t>
            </w:r>
          </w:p>
        </w:tc>
        <w:tc>
          <w:tcPr>
            <w:tcW w:w="2976" w:type="dxa"/>
          </w:tcPr>
          <w:p w:rsidR="003D7982" w:rsidRPr="00B82A35" w:rsidRDefault="003D7982" w:rsidP="003D7982">
            <w:pPr>
              <w:pStyle w:val="ListParagraph"/>
              <w:ind w:left="0"/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8</w:t>
            </w:r>
          </w:p>
        </w:tc>
        <w:tc>
          <w:tcPr>
            <w:tcW w:w="2205" w:type="dxa"/>
          </w:tcPr>
          <w:p w:rsidR="003D7982" w:rsidRPr="00B82A35" w:rsidRDefault="003D7982" w:rsidP="003D7982">
            <w:pPr>
              <w:pStyle w:val="ListParagraph"/>
              <w:ind w:left="0"/>
              <w:jc w:val="right"/>
              <w:rPr>
                <w:rFonts w:ascii="Arial" w:hAnsi="Arial" w:cs="Arial"/>
                <w:lang w:val="en-ZA" w:eastAsia="x-none"/>
              </w:rPr>
            </w:pPr>
            <w:r w:rsidRPr="00B82A35">
              <w:rPr>
                <w:rFonts w:ascii="Arial" w:hAnsi="Arial" w:cs="Arial"/>
                <w:lang w:val="en-ZA" w:eastAsia="x-none"/>
              </w:rPr>
              <w:t>190 499</w:t>
            </w:r>
          </w:p>
        </w:tc>
      </w:tr>
      <w:tr w:rsidR="003D7982" w:rsidTr="00AF701E">
        <w:tc>
          <w:tcPr>
            <w:tcW w:w="3545" w:type="dxa"/>
          </w:tcPr>
          <w:p w:rsidR="003D7982" w:rsidRPr="00B82A35" w:rsidRDefault="003D7982" w:rsidP="003D7982">
            <w:pPr>
              <w:pStyle w:val="ListParagraph"/>
              <w:ind w:left="0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(cc) 90 – 120 days</w:t>
            </w:r>
          </w:p>
        </w:tc>
        <w:tc>
          <w:tcPr>
            <w:tcW w:w="2976" w:type="dxa"/>
          </w:tcPr>
          <w:p w:rsidR="003D7982" w:rsidRPr="00B82A35" w:rsidRDefault="003D7982" w:rsidP="003D7982">
            <w:pPr>
              <w:pStyle w:val="ListParagraph"/>
              <w:ind w:left="0"/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4</w:t>
            </w:r>
          </w:p>
        </w:tc>
        <w:tc>
          <w:tcPr>
            <w:tcW w:w="2205" w:type="dxa"/>
          </w:tcPr>
          <w:p w:rsidR="003D7982" w:rsidRPr="00B82A35" w:rsidRDefault="003D7982" w:rsidP="003D7982">
            <w:pPr>
              <w:pStyle w:val="ListParagraph"/>
              <w:ind w:left="0"/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137 473 788 *</w:t>
            </w:r>
          </w:p>
        </w:tc>
      </w:tr>
      <w:tr w:rsidR="003D7982" w:rsidTr="00AF701E">
        <w:tc>
          <w:tcPr>
            <w:tcW w:w="3545" w:type="dxa"/>
          </w:tcPr>
          <w:p w:rsidR="003D7982" w:rsidRPr="00B82A35" w:rsidRDefault="003D7982" w:rsidP="003D7982">
            <w:pPr>
              <w:pStyle w:val="ListParagraph"/>
              <w:ind w:left="0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dd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>) 120</w:t>
            </w:r>
          </w:p>
        </w:tc>
        <w:tc>
          <w:tcPr>
            <w:tcW w:w="2976" w:type="dxa"/>
          </w:tcPr>
          <w:p w:rsidR="003D7982" w:rsidRPr="00B82A35" w:rsidRDefault="003D7982" w:rsidP="003D7982">
            <w:pPr>
              <w:pStyle w:val="ListParagraph"/>
              <w:ind w:left="0"/>
              <w:jc w:val="center"/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2205" w:type="dxa"/>
          </w:tcPr>
          <w:p w:rsidR="003D7982" w:rsidRPr="00B82A35" w:rsidRDefault="003D7982" w:rsidP="003D7982">
            <w:pPr>
              <w:pStyle w:val="ListParagraph"/>
              <w:ind w:left="0"/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0</w:t>
            </w:r>
          </w:p>
        </w:tc>
      </w:tr>
      <w:tr w:rsidR="003D7982" w:rsidTr="00AF701E">
        <w:tc>
          <w:tcPr>
            <w:tcW w:w="3545" w:type="dxa"/>
          </w:tcPr>
          <w:p w:rsidR="003D7982" w:rsidRDefault="003D7982" w:rsidP="003D7982">
            <w:pPr>
              <w:pStyle w:val="ListParagraph"/>
              <w:ind w:left="508"/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2976" w:type="dxa"/>
          </w:tcPr>
          <w:p w:rsidR="003D7982" w:rsidRPr="00011813" w:rsidRDefault="003D7982" w:rsidP="003D798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ZA" w:eastAsia="x-none"/>
              </w:rPr>
            </w:pPr>
          </w:p>
        </w:tc>
        <w:tc>
          <w:tcPr>
            <w:tcW w:w="2205" w:type="dxa"/>
          </w:tcPr>
          <w:p w:rsidR="003D7982" w:rsidRPr="00011813" w:rsidRDefault="003D7982" w:rsidP="003D7982">
            <w:pPr>
              <w:pStyle w:val="ListParagraph"/>
              <w:ind w:left="0"/>
              <w:jc w:val="right"/>
              <w:rPr>
                <w:rFonts w:ascii="Arial" w:hAnsi="Arial" w:cs="Arial"/>
                <w:b/>
                <w:lang w:val="en-ZA" w:eastAsia="x-none"/>
              </w:rPr>
            </w:pPr>
          </w:p>
        </w:tc>
      </w:tr>
      <w:tr w:rsidR="003D7982" w:rsidTr="00AF701E">
        <w:tc>
          <w:tcPr>
            <w:tcW w:w="3545" w:type="dxa"/>
          </w:tcPr>
          <w:p w:rsidR="003D7982" w:rsidRPr="003D7982" w:rsidRDefault="003D7982" w:rsidP="003D7982">
            <w:pPr>
              <w:pStyle w:val="ListParagraph"/>
              <w:numPr>
                <w:ilvl w:val="0"/>
                <w:numId w:val="23"/>
              </w:numPr>
              <w:ind w:left="508" w:hanging="508"/>
              <w:rPr>
                <w:rFonts w:ascii="Arial" w:hAnsi="Arial" w:cs="Arial"/>
                <w:b/>
                <w:lang w:val="en-ZA" w:eastAsia="x-none"/>
              </w:rPr>
            </w:pPr>
            <w:r w:rsidRPr="003D7982">
              <w:rPr>
                <w:rFonts w:ascii="Arial" w:hAnsi="Arial" w:cs="Arial"/>
                <w:b/>
                <w:lang w:val="en-ZA" w:eastAsia="x-none"/>
              </w:rPr>
              <w:t>TOTAL</w:t>
            </w:r>
          </w:p>
        </w:tc>
        <w:tc>
          <w:tcPr>
            <w:tcW w:w="2976" w:type="dxa"/>
          </w:tcPr>
          <w:p w:rsidR="003D7982" w:rsidRPr="00011813" w:rsidRDefault="003D7982" w:rsidP="003D798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011813">
              <w:rPr>
                <w:rFonts w:ascii="Arial" w:hAnsi="Arial" w:cs="Arial"/>
                <w:b/>
                <w:lang w:val="en-ZA" w:eastAsia="x-none"/>
              </w:rPr>
              <w:t>41</w:t>
            </w:r>
          </w:p>
        </w:tc>
        <w:tc>
          <w:tcPr>
            <w:tcW w:w="2205" w:type="dxa"/>
          </w:tcPr>
          <w:p w:rsidR="003D7982" w:rsidRPr="00011813" w:rsidRDefault="003D7982" w:rsidP="003D7982">
            <w:pPr>
              <w:pStyle w:val="ListParagraph"/>
              <w:ind w:left="0"/>
              <w:jc w:val="right"/>
              <w:rPr>
                <w:rFonts w:ascii="Arial" w:hAnsi="Arial" w:cs="Arial"/>
                <w:b/>
                <w:lang w:val="en-ZA" w:eastAsia="x-none"/>
              </w:rPr>
            </w:pPr>
            <w:r w:rsidRPr="00011813">
              <w:rPr>
                <w:rFonts w:ascii="Arial" w:hAnsi="Arial" w:cs="Arial"/>
                <w:b/>
                <w:lang w:val="en-ZA" w:eastAsia="x-none"/>
              </w:rPr>
              <w:t>144 265 890</w:t>
            </w:r>
          </w:p>
        </w:tc>
      </w:tr>
    </w:tbl>
    <w:p w:rsidR="00D37087" w:rsidRDefault="00D37087" w:rsidP="00D37087">
      <w:pPr>
        <w:ind w:hanging="11"/>
        <w:rPr>
          <w:rFonts w:ascii="Arial" w:hAnsi="Arial" w:cs="Arial"/>
          <w:lang w:val="en-ZA" w:eastAsia="x-none"/>
        </w:rPr>
      </w:pPr>
    </w:p>
    <w:p w:rsidR="00B82A35" w:rsidRDefault="003D7982" w:rsidP="00D37087">
      <w:pPr>
        <w:ind w:hanging="11"/>
        <w:rPr>
          <w:rFonts w:ascii="Arial" w:hAnsi="Arial" w:cs="Arial"/>
          <w:lang w:val="en-ZA" w:eastAsia="x-none"/>
        </w:rPr>
      </w:pPr>
      <w:r w:rsidRPr="003D7982">
        <w:rPr>
          <w:rFonts w:ascii="Arial" w:hAnsi="Arial" w:cs="Arial"/>
          <w:lang w:val="en-ZA" w:eastAsia="x-none"/>
        </w:rPr>
        <w:t>*An amount of R137 126 716 is unpaid due to the vendor not submitting the required documentation for vendor registration.</w:t>
      </w:r>
    </w:p>
    <w:p w:rsidR="003B387C" w:rsidRPr="003D7982" w:rsidRDefault="003B387C" w:rsidP="00D37087">
      <w:pPr>
        <w:ind w:hanging="11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remainder of the outstanding invoices are at invoice verification stage with outstanding documentation from suppliers. Engagements continue with suppliers to meet all criteria for invoice processing and payment.</w:t>
      </w:r>
    </w:p>
    <w:p w:rsidR="006E0416" w:rsidRDefault="006E0416" w:rsidP="00F91225">
      <w:pPr>
        <w:rPr>
          <w:rFonts w:ascii="Arial" w:hAnsi="Arial" w:cs="Arial"/>
          <w:b/>
          <w:lang w:val="en-ZA" w:eastAsia="x-none"/>
        </w:rPr>
      </w:pPr>
    </w:p>
    <w:p w:rsidR="006E0416" w:rsidRDefault="00B15D03" w:rsidP="00F91225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Ports Regulator (RS)</w:t>
      </w:r>
    </w:p>
    <w:p w:rsidR="00207131" w:rsidRPr="00207131" w:rsidRDefault="00207131" w:rsidP="00F91225">
      <w:pPr>
        <w:rPr>
          <w:rFonts w:ascii="Arial" w:hAnsi="Arial" w:cs="Arial"/>
          <w:lang w:val="en-ZA" w:eastAsia="x-none"/>
        </w:rPr>
      </w:pPr>
      <w:r w:rsidRPr="00207131">
        <w:rPr>
          <w:rFonts w:ascii="Arial" w:hAnsi="Arial" w:cs="Arial"/>
          <w:lang w:val="en-ZA" w:eastAsia="x-none"/>
        </w:rPr>
        <w:t>(a)(ii) The Ports Regulator does not have any invoices hat has remained unpaid for more than (aa)30 days, (bb) 60 days, (cc) 90 days and (</w:t>
      </w:r>
      <w:proofErr w:type="spellStart"/>
      <w:r w:rsidRPr="00207131">
        <w:rPr>
          <w:rFonts w:ascii="Arial" w:hAnsi="Arial" w:cs="Arial"/>
          <w:lang w:val="en-ZA" w:eastAsia="x-none"/>
        </w:rPr>
        <w:t>dd</w:t>
      </w:r>
      <w:proofErr w:type="spellEnd"/>
      <w:r w:rsidRPr="00207131">
        <w:rPr>
          <w:rFonts w:ascii="Arial" w:hAnsi="Arial" w:cs="Arial"/>
          <w:lang w:val="en-ZA" w:eastAsia="x-none"/>
        </w:rPr>
        <w:t>) 120 days. This is caused by the district finance policy of processing the invoice within 7 days after the date of receipt. The invoice are then paid filed, there are instances where the invoice may go beyond the 7 days period by those isolated instances are carefully managed to ensure that it doesn’t exceed the 30 days period</w:t>
      </w:r>
    </w:p>
    <w:p w:rsidR="00B15D03" w:rsidRDefault="00B15D03" w:rsidP="00F91225">
      <w:pPr>
        <w:rPr>
          <w:rFonts w:ascii="Arial" w:hAnsi="Arial" w:cs="Arial"/>
          <w:b/>
          <w:lang w:val="en-ZA" w:eastAsia="x-none"/>
        </w:rPr>
      </w:pPr>
    </w:p>
    <w:p w:rsidR="00B15D03" w:rsidRDefault="00B15D03" w:rsidP="00F91225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South African Maritime Safety Authority (SAMSA)</w:t>
      </w:r>
    </w:p>
    <w:p w:rsidR="00207131" w:rsidRPr="00207131" w:rsidRDefault="00207131" w:rsidP="00207131">
      <w:pPr>
        <w:rPr>
          <w:rFonts w:ascii="Arial" w:hAnsi="Arial" w:cs="Arial"/>
          <w:lang w:val="en-ZA" w:eastAsia="x-none"/>
        </w:rPr>
      </w:pPr>
      <w:r w:rsidRPr="00207131">
        <w:rPr>
          <w:b/>
          <w:lang w:val="en-ZA" w:eastAsia="x-none"/>
        </w:rPr>
        <w:t>1</w:t>
      </w:r>
      <w:r w:rsidRPr="00207131">
        <w:rPr>
          <w:rFonts w:ascii="Arial" w:hAnsi="Arial" w:cs="Arial"/>
          <w:lang w:val="en-ZA" w:eastAsia="x-none"/>
        </w:rPr>
        <w:t>. The total number of suppliers that remain unpaid is 596.</w:t>
      </w:r>
    </w:p>
    <w:p w:rsidR="00207131" w:rsidRPr="00207131" w:rsidRDefault="00207131" w:rsidP="00207131">
      <w:pPr>
        <w:rPr>
          <w:rFonts w:ascii="Arial" w:hAnsi="Arial" w:cs="Arial"/>
          <w:lang w:val="en-ZA" w:eastAsia="x-none"/>
        </w:rPr>
      </w:pPr>
      <w:r w:rsidRPr="00207131">
        <w:rPr>
          <w:rFonts w:ascii="Arial" w:hAnsi="Arial" w:cs="Arial"/>
          <w:lang w:val="en-ZA" w:eastAsia="x-none"/>
        </w:rPr>
        <w:lastRenderedPageBreak/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268"/>
        <w:gridCol w:w="1559"/>
        <w:gridCol w:w="1815"/>
      </w:tblGrid>
      <w:tr w:rsidR="00207131" w:rsidRPr="00207131" w:rsidTr="00B32870">
        <w:trPr>
          <w:trHeight w:val="288"/>
        </w:trPr>
        <w:tc>
          <w:tcPr>
            <w:tcW w:w="2689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bCs/>
                <w:lang w:eastAsia="x-none"/>
              </w:rPr>
            </w:pPr>
            <w:r w:rsidRPr="00207131">
              <w:rPr>
                <w:rFonts w:ascii="Arial" w:hAnsi="Arial" w:cs="Arial"/>
                <w:bCs/>
                <w:lang w:eastAsia="x-none"/>
              </w:rPr>
              <w:t>Current</w:t>
            </w:r>
          </w:p>
        </w:tc>
        <w:tc>
          <w:tcPr>
            <w:tcW w:w="2268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bCs/>
                <w:lang w:eastAsia="x-none"/>
              </w:rPr>
            </w:pPr>
            <w:r w:rsidRPr="00207131">
              <w:rPr>
                <w:rFonts w:ascii="Arial" w:hAnsi="Arial" w:cs="Arial"/>
                <w:bCs/>
                <w:lang w:eastAsia="x-none"/>
              </w:rPr>
              <w:t>30 Days</w:t>
            </w:r>
          </w:p>
        </w:tc>
        <w:tc>
          <w:tcPr>
            <w:tcW w:w="1559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bCs/>
                <w:lang w:eastAsia="x-none"/>
              </w:rPr>
            </w:pPr>
            <w:r w:rsidRPr="00207131">
              <w:rPr>
                <w:rFonts w:ascii="Arial" w:hAnsi="Arial" w:cs="Arial"/>
                <w:bCs/>
                <w:lang w:eastAsia="x-none"/>
              </w:rPr>
              <w:t>60 Days</w:t>
            </w:r>
          </w:p>
        </w:tc>
        <w:tc>
          <w:tcPr>
            <w:tcW w:w="1815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bCs/>
                <w:lang w:eastAsia="x-none"/>
              </w:rPr>
            </w:pPr>
            <w:r w:rsidRPr="00207131">
              <w:rPr>
                <w:rFonts w:ascii="Arial" w:hAnsi="Arial" w:cs="Arial"/>
                <w:bCs/>
                <w:lang w:eastAsia="x-none"/>
              </w:rPr>
              <w:t>90 Days</w:t>
            </w:r>
          </w:p>
        </w:tc>
      </w:tr>
      <w:tr w:rsidR="00207131" w:rsidRPr="00207131" w:rsidTr="00B32870">
        <w:trPr>
          <w:trHeight w:val="288"/>
        </w:trPr>
        <w:tc>
          <w:tcPr>
            <w:tcW w:w="2689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lang w:eastAsia="x-none"/>
              </w:rPr>
            </w:pPr>
            <w:r w:rsidRPr="00207131">
              <w:rPr>
                <w:rFonts w:ascii="Arial" w:hAnsi="Arial" w:cs="Arial"/>
                <w:lang w:eastAsia="x-none"/>
              </w:rPr>
              <w:t>Total Amount outstanding</w:t>
            </w:r>
          </w:p>
        </w:tc>
        <w:tc>
          <w:tcPr>
            <w:tcW w:w="1701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bCs/>
                <w:lang w:eastAsia="x-none"/>
              </w:rPr>
            </w:pPr>
            <w:r w:rsidRPr="00207131">
              <w:rPr>
                <w:rFonts w:ascii="Arial" w:hAnsi="Arial" w:cs="Arial"/>
                <w:bCs/>
                <w:lang w:eastAsia="x-none"/>
              </w:rPr>
              <w:t>R 4 396 019,71</w:t>
            </w:r>
          </w:p>
        </w:tc>
        <w:tc>
          <w:tcPr>
            <w:tcW w:w="2268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bCs/>
                <w:lang w:eastAsia="x-none"/>
              </w:rPr>
            </w:pPr>
            <w:r w:rsidRPr="00207131">
              <w:rPr>
                <w:rFonts w:ascii="Arial" w:hAnsi="Arial" w:cs="Arial"/>
                <w:bCs/>
                <w:lang w:eastAsia="x-none"/>
              </w:rPr>
              <w:t>R 2 495 545,38</w:t>
            </w:r>
          </w:p>
        </w:tc>
        <w:tc>
          <w:tcPr>
            <w:tcW w:w="1559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bCs/>
                <w:lang w:eastAsia="x-none"/>
              </w:rPr>
            </w:pPr>
            <w:r w:rsidRPr="00207131">
              <w:rPr>
                <w:rFonts w:ascii="Arial" w:hAnsi="Arial" w:cs="Arial"/>
                <w:bCs/>
                <w:lang w:eastAsia="x-none"/>
              </w:rPr>
              <w:t>R 660 052,48</w:t>
            </w:r>
          </w:p>
        </w:tc>
        <w:tc>
          <w:tcPr>
            <w:tcW w:w="1815" w:type="dxa"/>
            <w:noWrap/>
            <w:hideMark/>
          </w:tcPr>
          <w:p w:rsidR="00207131" w:rsidRPr="00207131" w:rsidRDefault="00207131" w:rsidP="00B32870">
            <w:pPr>
              <w:rPr>
                <w:rFonts w:ascii="Arial" w:hAnsi="Arial" w:cs="Arial"/>
                <w:bCs/>
                <w:lang w:eastAsia="x-none"/>
              </w:rPr>
            </w:pPr>
            <w:r w:rsidRPr="00207131">
              <w:rPr>
                <w:rFonts w:ascii="Arial" w:hAnsi="Arial" w:cs="Arial"/>
                <w:bCs/>
                <w:lang w:eastAsia="x-none"/>
              </w:rPr>
              <w:t>R 920 874,41</w:t>
            </w:r>
          </w:p>
        </w:tc>
      </w:tr>
    </w:tbl>
    <w:p w:rsidR="006E0416" w:rsidRDefault="006E0416" w:rsidP="00F91225">
      <w:pPr>
        <w:rPr>
          <w:rFonts w:ascii="Arial" w:hAnsi="Arial" w:cs="Arial"/>
          <w:b/>
          <w:lang w:val="en-ZA" w:eastAsia="x-none"/>
        </w:rPr>
      </w:pPr>
    </w:p>
    <w:p w:rsidR="00B82A35" w:rsidRDefault="006E0416" w:rsidP="00F91225">
      <w:pPr>
        <w:rPr>
          <w:rFonts w:ascii="Arial" w:hAnsi="Arial" w:cs="Arial"/>
          <w:b/>
          <w:lang w:val="en-ZA" w:eastAsia="x-none"/>
        </w:rPr>
      </w:pPr>
      <w:r w:rsidRPr="006E0416">
        <w:rPr>
          <w:rFonts w:ascii="Arial" w:hAnsi="Arial" w:cs="Arial"/>
          <w:b/>
          <w:lang w:val="en-ZA" w:eastAsia="x-none"/>
        </w:rPr>
        <w:t>Passenger Rail Agency of South Africa (PRASA)</w:t>
      </w:r>
    </w:p>
    <w:p w:rsidR="00207131" w:rsidRDefault="00207131" w:rsidP="00207131">
      <w:pPr>
        <w:rPr>
          <w:rFonts w:ascii="Arial" w:hAnsi="Arial" w:cs="Arial"/>
          <w:lang w:val="en-ZA" w:eastAsia="x-none"/>
        </w:rPr>
      </w:pPr>
      <w:r w:rsidRPr="00AE17CA">
        <w:rPr>
          <w:rFonts w:ascii="Arial" w:hAnsi="Arial" w:cs="Arial"/>
          <w:lang w:val="en-ZA" w:eastAsia="x-none"/>
        </w:rPr>
        <w:t>(a) Number of invoices</w:t>
      </w:r>
      <w:r>
        <w:rPr>
          <w:rFonts w:ascii="Arial" w:hAnsi="Arial" w:cs="Arial"/>
          <w:lang w:val="en-ZA" w:eastAsia="x-none"/>
        </w:rPr>
        <w:t xml:space="preserve"> unpaid – </w:t>
      </w:r>
    </w:p>
    <w:p w:rsidR="00207131" w:rsidRDefault="00207131" w:rsidP="00207131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gramStart"/>
      <w:r>
        <w:rPr>
          <w:rFonts w:ascii="Arial" w:hAnsi="Arial" w:cs="Arial"/>
          <w:lang w:val="en-ZA" w:eastAsia="x-none"/>
        </w:rPr>
        <w:t>aa</w:t>
      </w:r>
      <w:proofErr w:type="gramEnd"/>
      <w:r>
        <w:rPr>
          <w:rFonts w:ascii="Arial" w:hAnsi="Arial" w:cs="Arial"/>
          <w:lang w:val="en-ZA" w:eastAsia="x-none"/>
        </w:rPr>
        <w:t>) more than 30 days - R96,149,129</w:t>
      </w:r>
    </w:p>
    <w:p w:rsidR="00207131" w:rsidRDefault="00207131" w:rsidP="00207131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gramStart"/>
      <w:r>
        <w:rPr>
          <w:rFonts w:ascii="Arial" w:hAnsi="Arial" w:cs="Arial"/>
          <w:lang w:val="en-ZA" w:eastAsia="x-none"/>
        </w:rPr>
        <w:t>bb</w:t>
      </w:r>
      <w:proofErr w:type="gramEnd"/>
      <w:r>
        <w:rPr>
          <w:rFonts w:ascii="Arial" w:hAnsi="Arial" w:cs="Arial"/>
          <w:lang w:val="en-ZA" w:eastAsia="x-none"/>
        </w:rPr>
        <w:t>) more than 60 days – R85,373,156</w:t>
      </w:r>
    </w:p>
    <w:p w:rsidR="00207131" w:rsidRDefault="00207131" w:rsidP="00207131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(cc) more than 90 days – R58</w:t>
      </w:r>
      <w:proofErr w:type="gramStart"/>
      <w:r>
        <w:rPr>
          <w:rFonts w:ascii="Arial" w:hAnsi="Arial" w:cs="Arial"/>
          <w:lang w:val="en-ZA" w:eastAsia="x-none"/>
        </w:rPr>
        <w:t>,998,210</w:t>
      </w:r>
      <w:proofErr w:type="gramEnd"/>
    </w:p>
    <w:p w:rsidR="00207131" w:rsidRDefault="00207131" w:rsidP="00207131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spellStart"/>
      <w:proofErr w:type="gramStart"/>
      <w:r>
        <w:rPr>
          <w:rFonts w:ascii="Arial" w:hAnsi="Arial" w:cs="Arial"/>
          <w:lang w:val="en-ZA" w:eastAsia="x-none"/>
        </w:rPr>
        <w:t>dd</w:t>
      </w:r>
      <w:proofErr w:type="spellEnd"/>
      <w:proofErr w:type="gramEnd"/>
      <w:r>
        <w:rPr>
          <w:rFonts w:ascii="Arial" w:hAnsi="Arial" w:cs="Arial"/>
          <w:lang w:val="en-ZA" w:eastAsia="x-none"/>
        </w:rPr>
        <w:t>) more than 120 days – R880,577,150</w:t>
      </w:r>
    </w:p>
    <w:p w:rsidR="00207131" w:rsidRDefault="00207131" w:rsidP="00207131">
      <w:pPr>
        <w:rPr>
          <w:rFonts w:ascii="Arial" w:hAnsi="Arial" w:cs="Arial"/>
          <w:lang w:val="en-ZA" w:eastAsia="x-none"/>
        </w:rPr>
      </w:pPr>
    </w:p>
    <w:p w:rsidR="00207131" w:rsidRDefault="00207131" w:rsidP="00207131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Disparity between capital and operational expenses leaves shortfall/unpaid invoices on operational expenditure. 56% of outstanding amount is due to Transnet and 6% to municipalities.</w:t>
      </w:r>
    </w:p>
    <w:p w:rsidR="006E0416" w:rsidRDefault="006E0416" w:rsidP="00F91225">
      <w:pPr>
        <w:rPr>
          <w:rFonts w:ascii="Arial" w:hAnsi="Arial" w:cs="Arial"/>
          <w:b/>
          <w:lang w:val="en-ZA" w:eastAsia="x-none"/>
        </w:rPr>
      </w:pPr>
      <w:r w:rsidRPr="006E0416">
        <w:rPr>
          <w:rFonts w:ascii="Arial" w:hAnsi="Arial" w:cs="Arial"/>
          <w:b/>
          <w:lang w:val="en-ZA" w:eastAsia="x-none"/>
        </w:rPr>
        <w:t>Railway Safety Regulator (RSR)</w:t>
      </w:r>
    </w:p>
    <w:p w:rsidR="00207131" w:rsidRPr="00F930CA" w:rsidRDefault="00207131" w:rsidP="00207131">
      <w:pPr>
        <w:pStyle w:val="ListParagraph"/>
        <w:numPr>
          <w:ilvl w:val="0"/>
          <w:numId w:val="35"/>
        </w:numPr>
        <w:rPr>
          <w:rFonts w:ascii="Arial" w:hAnsi="Arial" w:cs="Arial"/>
          <w:lang w:val="en-ZA" w:eastAsia="x-none"/>
        </w:rPr>
      </w:pPr>
    </w:p>
    <w:tbl>
      <w:tblPr>
        <w:tblW w:w="9885" w:type="dxa"/>
        <w:tblInd w:w="-5" w:type="dxa"/>
        <w:tblLook w:val="04A0" w:firstRow="1" w:lastRow="0" w:firstColumn="1" w:lastColumn="0" w:noHBand="0" w:noVBand="1"/>
      </w:tblPr>
      <w:tblGrid>
        <w:gridCol w:w="1711"/>
        <w:gridCol w:w="6328"/>
        <w:gridCol w:w="1846"/>
      </w:tblGrid>
      <w:tr w:rsidR="00207131" w:rsidRPr="009D019C" w:rsidTr="00B32870">
        <w:trPr>
          <w:trHeight w:val="19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D0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No of days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D0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Number of Suppliers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D0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Amount</w:t>
            </w:r>
          </w:p>
        </w:tc>
      </w:tr>
      <w:tr w:rsidR="00207131" w:rsidRPr="009D019C" w:rsidTr="00B32870">
        <w:trPr>
          <w:trHeight w:val="19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D019C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 Days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9D019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9D019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     677 548,37 </w:t>
            </w:r>
          </w:p>
        </w:tc>
      </w:tr>
      <w:tr w:rsidR="00207131" w:rsidRPr="009D019C" w:rsidTr="00B32870">
        <w:trPr>
          <w:trHeight w:val="19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D019C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60 Days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*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9D019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9D019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          7 450,31 </w:t>
            </w:r>
          </w:p>
        </w:tc>
      </w:tr>
      <w:tr w:rsidR="00207131" w:rsidRPr="009D019C" w:rsidTr="00B32870">
        <w:trPr>
          <w:trHeight w:val="19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D019C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90 days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*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9D019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9D019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       11 820,00 </w:t>
            </w:r>
          </w:p>
        </w:tc>
      </w:tr>
      <w:tr w:rsidR="00207131" w:rsidRPr="009D019C" w:rsidTr="00B32870">
        <w:trPr>
          <w:trHeight w:val="19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D019C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120 days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**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9D019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9D019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  2 199 887,23 </w:t>
            </w:r>
          </w:p>
        </w:tc>
      </w:tr>
      <w:tr w:rsidR="00207131" w:rsidRPr="009D019C" w:rsidTr="00B32870">
        <w:trPr>
          <w:trHeight w:val="204"/>
        </w:trPr>
        <w:tc>
          <w:tcPr>
            <w:tcW w:w="17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9D019C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D0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31" w:rsidRPr="009D019C" w:rsidRDefault="00207131" w:rsidP="00B32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D0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2 896 705,91 </w:t>
            </w:r>
          </w:p>
        </w:tc>
      </w:tr>
    </w:tbl>
    <w:p w:rsidR="00207131" w:rsidRDefault="00207131" w:rsidP="0020713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Invoices received late from suppliers</w:t>
      </w:r>
    </w:p>
    <w:p w:rsidR="00207131" w:rsidRPr="000C29C3" w:rsidRDefault="00207131" w:rsidP="0020713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Transactions that are currently disputed and going through a verification process or services not delivered as per specification currently being resolved</w:t>
      </w:r>
    </w:p>
    <w:p w:rsidR="00207131" w:rsidRDefault="00207131" w:rsidP="00207131">
      <w:pPr>
        <w:rPr>
          <w:rFonts w:ascii="Arial" w:hAnsi="Arial" w:cs="Arial"/>
          <w:lang w:val="en-ZA" w:eastAsia="x-none"/>
        </w:rPr>
      </w:pPr>
    </w:p>
    <w:p w:rsidR="00207131" w:rsidRPr="00AE17CA" w:rsidRDefault="00207131" w:rsidP="00207131">
      <w:pPr>
        <w:rPr>
          <w:rFonts w:ascii="Arial" w:hAnsi="Arial" w:cs="Arial"/>
          <w:lang w:val="en-ZA" w:eastAsia="x-none"/>
        </w:rPr>
      </w:pPr>
    </w:p>
    <w:p w:rsidR="00207131" w:rsidRPr="006E0416" w:rsidRDefault="00207131" w:rsidP="00F91225">
      <w:pPr>
        <w:rPr>
          <w:rFonts w:ascii="Arial" w:hAnsi="Arial" w:cs="Arial"/>
          <w:b/>
          <w:lang w:val="en-ZA" w:eastAsia="x-none"/>
        </w:rPr>
      </w:pPr>
    </w:p>
    <w:sectPr w:rsidR="00207131" w:rsidRPr="006E0416" w:rsidSect="006E550E">
      <w:footerReference w:type="default" r:id="rId12"/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BD" w:rsidRDefault="007F61BD" w:rsidP="00DB1508">
      <w:pPr>
        <w:spacing w:after="0" w:line="240" w:lineRule="auto"/>
      </w:pPr>
      <w:r>
        <w:separator/>
      </w:r>
    </w:p>
  </w:endnote>
  <w:endnote w:type="continuationSeparator" w:id="0">
    <w:p w:rsidR="007F61BD" w:rsidRDefault="007F61B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90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416" w:rsidRDefault="006E0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CA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E0416" w:rsidRDefault="006E0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BD" w:rsidRDefault="007F61BD" w:rsidP="00DB1508">
      <w:pPr>
        <w:spacing w:after="0" w:line="240" w:lineRule="auto"/>
      </w:pPr>
      <w:r>
        <w:separator/>
      </w:r>
    </w:p>
  </w:footnote>
  <w:footnote w:type="continuationSeparator" w:id="0">
    <w:p w:rsidR="007F61BD" w:rsidRDefault="007F61B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5A"/>
    <w:multiLevelType w:val="hybridMultilevel"/>
    <w:tmpl w:val="50DC5C04"/>
    <w:lvl w:ilvl="0" w:tplc="701E93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392F"/>
    <w:multiLevelType w:val="hybridMultilevel"/>
    <w:tmpl w:val="8A3E033E"/>
    <w:lvl w:ilvl="0" w:tplc="A77CCB4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D3960"/>
    <w:multiLevelType w:val="hybridMultilevel"/>
    <w:tmpl w:val="F330087E"/>
    <w:lvl w:ilvl="0" w:tplc="147E62A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133F39"/>
    <w:multiLevelType w:val="hybridMultilevel"/>
    <w:tmpl w:val="5E929BBC"/>
    <w:lvl w:ilvl="0" w:tplc="DD940F3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24E2"/>
    <w:multiLevelType w:val="hybridMultilevel"/>
    <w:tmpl w:val="1CCE70DC"/>
    <w:lvl w:ilvl="0" w:tplc="89CE3E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74F33"/>
    <w:multiLevelType w:val="hybridMultilevel"/>
    <w:tmpl w:val="0548E59C"/>
    <w:lvl w:ilvl="0" w:tplc="9EE2D1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03833"/>
    <w:multiLevelType w:val="hybridMultilevel"/>
    <w:tmpl w:val="D5B2ACEC"/>
    <w:lvl w:ilvl="0" w:tplc="50680F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C6EB1"/>
    <w:multiLevelType w:val="hybridMultilevel"/>
    <w:tmpl w:val="FC62E988"/>
    <w:lvl w:ilvl="0" w:tplc="916ED3F6">
      <w:start w:val="144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311DA"/>
    <w:multiLevelType w:val="hybridMultilevel"/>
    <w:tmpl w:val="03CE6D42"/>
    <w:lvl w:ilvl="0" w:tplc="A0CC5E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1450"/>
    <w:multiLevelType w:val="hybridMultilevel"/>
    <w:tmpl w:val="4086D562"/>
    <w:lvl w:ilvl="0" w:tplc="942E4FC2">
      <w:start w:val="28"/>
      <w:numFmt w:val="lowerLetter"/>
      <w:lvlText w:val="(%1)"/>
      <w:lvlJc w:val="left"/>
      <w:pPr>
        <w:ind w:left="408" w:hanging="40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15A83"/>
    <w:multiLevelType w:val="hybridMultilevel"/>
    <w:tmpl w:val="732CBE9A"/>
    <w:lvl w:ilvl="0" w:tplc="2ADA3938">
      <w:start w:val="14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5D9A"/>
    <w:multiLevelType w:val="hybridMultilevel"/>
    <w:tmpl w:val="24EE30AA"/>
    <w:lvl w:ilvl="0" w:tplc="747C4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F53070D"/>
    <w:multiLevelType w:val="hybridMultilevel"/>
    <w:tmpl w:val="B5424B3E"/>
    <w:lvl w:ilvl="0" w:tplc="C268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14DDF"/>
    <w:multiLevelType w:val="hybridMultilevel"/>
    <w:tmpl w:val="0F8A7E18"/>
    <w:lvl w:ilvl="0" w:tplc="D3DE826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5"/>
  </w:num>
  <w:num w:numId="5">
    <w:abstractNumId w:val="22"/>
  </w:num>
  <w:num w:numId="6">
    <w:abstractNumId w:val="3"/>
  </w:num>
  <w:num w:numId="7">
    <w:abstractNumId w:val="11"/>
  </w:num>
  <w:num w:numId="8">
    <w:abstractNumId w:val="8"/>
  </w:num>
  <w:num w:numId="9">
    <w:abstractNumId w:val="24"/>
  </w:num>
  <w:num w:numId="10">
    <w:abstractNumId w:val="18"/>
  </w:num>
  <w:num w:numId="11">
    <w:abstractNumId w:val="33"/>
  </w:num>
  <w:num w:numId="12">
    <w:abstractNumId w:val="9"/>
  </w:num>
  <w:num w:numId="13">
    <w:abstractNumId w:val="19"/>
  </w:num>
  <w:num w:numId="14">
    <w:abstractNumId w:val="30"/>
  </w:num>
  <w:num w:numId="15">
    <w:abstractNumId w:val="21"/>
  </w:num>
  <w:num w:numId="16">
    <w:abstractNumId w:val="26"/>
  </w:num>
  <w:num w:numId="17">
    <w:abstractNumId w:val="16"/>
  </w:num>
  <w:num w:numId="18">
    <w:abstractNumId w:val="4"/>
  </w:num>
  <w:num w:numId="19">
    <w:abstractNumId w:val="34"/>
  </w:num>
  <w:num w:numId="20">
    <w:abstractNumId w:val="12"/>
  </w:num>
  <w:num w:numId="21">
    <w:abstractNumId w:val="27"/>
  </w:num>
  <w:num w:numId="22">
    <w:abstractNumId w:val="13"/>
  </w:num>
  <w:num w:numId="23">
    <w:abstractNumId w:val="31"/>
  </w:num>
  <w:num w:numId="24">
    <w:abstractNumId w:val="15"/>
  </w:num>
  <w:num w:numId="25">
    <w:abstractNumId w:val="25"/>
  </w:num>
  <w:num w:numId="26">
    <w:abstractNumId w:val="17"/>
  </w:num>
  <w:num w:numId="27">
    <w:abstractNumId w:val="7"/>
  </w:num>
  <w:num w:numId="28">
    <w:abstractNumId w:val="6"/>
  </w:num>
  <w:num w:numId="29">
    <w:abstractNumId w:val="2"/>
  </w:num>
  <w:num w:numId="30">
    <w:abstractNumId w:val="32"/>
  </w:num>
  <w:num w:numId="31">
    <w:abstractNumId w:val="14"/>
  </w:num>
  <w:num w:numId="32">
    <w:abstractNumId w:val="0"/>
  </w:num>
  <w:num w:numId="33">
    <w:abstractNumId w:val="20"/>
  </w:num>
  <w:num w:numId="34">
    <w:abstractNumId w:val="10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11813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4C45"/>
    <w:rsid w:val="00065792"/>
    <w:rsid w:val="000773B2"/>
    <w:rsid w:val="00080A62"/>
    <w:rsid w:val="00080CA6"/>
    <w:rsid w:val="00082A4E"/>
    <w:rsid w:val="00084B38"/>
    <w:rsid w:val="00094B6A"/>
    <w:rsid w:val="0009500E"/>
    <w:rsid w:val="000A0DBF"/>
    <w:rsid w:val="000A3D6B"/>
    <w:rsid w:val="000B01FF"/>
    <w:rsid w:val="000C09AE"/>
    <w:rsid w:val="000C3487"/>
    <w:rsid w:val="000E04E0"/>
    <w:rsid w:val="000E0CFE"/>
    <w:rsid w:val="000E1780"/>
    <w:rsid w:val="000E1816"/>
    <w:rsid w:val="000E1907"/>
    <w:rsid w:val="000E66A4"/>
    <w:rsid w:val="000F14B7"/>
    <w:rsid w:val="000F15CB"/>
    <w:rsid w:val="000F29A6"/>
    <w:rsid w:val="000F76BD"/>
    <w:rsid w:val="001277CF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0206"/>
    <w:rsid w:val="001823DD"/>
    <w:rsid w:val="001828D3"/>
    <w:rsid w:val="00192D53"/>
    <w:rsid w:val="001A1F7C"/>
    <w:rsid w:val="001A495D"/>
    <w:rsid w:val="001B00F5"/>
    <w:rsid w:val="001B2E53"/>
    <w:rsid w:val="001B4385"/>
    <w:rsid w:val="001B47EB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07131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67770"/>
    <w:rsid w:val="00275EB5"/>
    <w:rsid w:val="002800B5"/>
    <w:rsid w:val="002829D7"/>
    <w:rsid w:val="002838E4"/>
    <w:rsid w:val="00286F8A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2F719D"/>
    <w:rsid w:val="00300DB7"/>
    <w:rsid w:val="003013F3"/>
    <w:rsid w:val="0030388B"/>
    <w:rsid w:val="00305323"/>
    <w:rsid w:val="00310DE1"/>
    <w:rsid w:val="003130D1"/>
    <w:rsid w:val="00314530"/>
    <w:rsid w:val="003175B5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0ACA"/>
    <w:rsid w:val="003813DA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387C"/>
    <w:rsid w:val="003B5402"/>
    <w:rsid w:val="003C2ADA"/>
    <w:rsid w:val="003C53EF"/>
    <w:rsid w:val="003C785A"/>
    <w:rsid w:val="003D7982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1A74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56C74"/>
    <w:rsid w:val="00460FD2"/>
    <w:rsid w:val="0046227D"/>
    <w:rsid w:val="00464C2E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13FB"/>
    <w:rsid w:val="004E2276"/>
    <w:rsid w:val="004E3CBD"/>
    <w:rsid w:val="004E536A"/>
    <w:rsid w:val="004E67DE"/>
    <w:rsid w:val="004E75EB"/>
    <w:rsid w:val="004F5213"/>
    <w:rsid w:val="004F7B4C"/>
    <w:rsid w:val="00513083"/>
    <w:rsid w:val="0051510D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325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3F30"/>
    <w:rsid w:val="006140CA"/>
    <w:rsid w:val="006168FC"/>
    <w:rsid w:val="00617B5C"/>
    <w:rsid w:val="0062385C"/>
    <w:rsid w:val="006305D9"/>
    <w:rsid w:val="00637B39"/>
    <w:rsid w:val="006748E3"/>
    <w:rsid w:val="006762C5"/>
    <w:rsid w:val="00676D83"/>
    <w:rsid w:val="00677C72"/>
    <w:rsid w:val="00680A9A"/>
    <w:rsid w:val="00682580"/>
    <w:rsid w:val="006842D9"/>
    <w:rsid w:val="0069030A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416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46E2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1BD0"/>
    <w:rsid w:val="00752EAB"/>
    <w:rsid w:val="0075491A"/>
    <w:rsid w:val="00755DBC"/>
    <w:rsid w:val="00764334"/>
    <w:rsid w:val="00774CA3"/>
    <w:rsid w:val="00783D94"/>
    <w:rsid w:val="00784077"/>
    <w:rsid w:val="0078576C"/>
    <w:rsid w:val="00787784"/>
    <w:rsid w:val="007907EC"/>
    <w:rsid w:val="00790E74"/>
    <w:rsid w:val="00792530"/>
    <w:rsid w:val="00796863"/>
    <w:rsid w:val="007A22E6"/>
    <w:rsid w:val="007A5C12"/>
    <w:rsid w:val="007A6B70"/>
    <w:rsid w:val="007C2860"/>
    <w:rsid w:val="007C4DC0"/>
    <w:rsid w:val="007C7CC7"/>
    <w:rsid w:val="007D2EEC"/>
    <w:rsid w:val="007D3628"/>
    <w:rsid w:val="007D6C0A"/>
    <w:rsid w:val="007E3447"/>
    <w:rsid w:val="007F0FBD"/>
    <w:rsid w:val="007F24B0"/>
    <w:rsid w:val="007F5F7B"/>
    <w:rsid w:val="007F61BD"/>
    <w:rsid w:val="007F70B0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33C"/>
    <w:rsid w:val="008821AF"/>
    <w:rsid w:val="00884F88"/>
    <w:rsid w:val="00896BC2"/>
    <w:rsid w:val="008A14FA"/>
    <w:rsid w:val="008A3260"/>
    <w:rsid w:val="008A52D5"/>
    <w:rsid w:val="008B2E50"/>
    <w:rsid w:val="008B4716"/>
    <w:rsid w:val="008B7B8C"/>
    <w:rsid w:val="008C0374"/>
    <w:rsid w:val="008C2F92"/>
    <w:rsid w:val="008C51D8"/>
    <w:rsid w:val="008E0CE8"/>
    <w:rsid w:val="008E13A6"/>
    <w:rsid w:val="008E1AAE"/>
    <w:rsid w:val="008F0979"/>
    <w:rsid w:val="008F5C5A"/>
    <w:rsid w:val="00901C32"/>
    <w:rsid w:val="00905917"/>
    <w:rsid w:val="00913EED"/>
    <w:rsid w:val="00913FA8"/>
    <w:rsid w:val="00916A9F"/>
    <w:rsid w:val="00916CE7"/>
    <w:rsid w:val="009204D0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A6CAD"/>
    <w:rsid w:val="009B0431"/>
    <w:rsid w:val="009B52FE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23625"/>
    <w:rsid w:val="00A33285"/>
    <w:rsid w:val="00A40246"/>
    <w:rsid w:val="00A4192C"/>
    <w:rsid w:val="00A44B9A"/>
    <w:rsid w:val="00A4563E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3BD7"/>
    <w:rsid w:val="00AE4D2A"/>
    <w:rsid w:val="00AE521B"/>
    <w:rsid w:val="00AF387B"/>
    <w:rsid w:val="00AF6FE8"/>
    <w:rsid w:val="00AF701E"/>
    <w:rsid w:val="00B00C2E"/>
    <w:rsid w:val="00B05CA7"/>
    <w:rsid w:val="00B07D55"/>
    <w:rsid w:val="00B1547F"/>
    <w:rsid w:val="00B15D03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3FD9"/>
    <w:rsid w:val="00B66DDB"/>
    <w:rsid w:val="00B75F59"/>
    <w:rsid w:val="00B82A35"/>
    <w:rsid w:val="00B85208"/>
    <w:rsid w:val="00B90502"/>
    <w:rsid w:val="00B93309"/>
    <w:rsid w:val="00B95D6E"/>
    <w:rsid w:val="00B95F63"/>
    <w:rsid w:val="00BA3834"/>
    <w:rsid w:val="00BA4847"/>
    <w:rsid w:val="00BA7CE2"/>
    <w:rsid w:val="00BB15C2"/>
    <w:rsid w:val="00BB5EA4"/>
    <w:rsid w:val="00BB7D7B"/>
    <w:rsid w:val="00BC06BD"/>
    <w:rsid w:val="00BC2F3F"/>
    <w:rsid w:val="00BC47EE"/>
    <w:rsid w:val="00BC7A99"/>
    <w:rsid w:val="00BD0668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732BB"/>
    <w:rsid w:val="00C81DAE"/>
    <w:rsid w:val="00C87CAE"/>
    <w:rsid w:val="00C92817"/>
    <w:rsid w:val="00CA3593"/>
    <w:rsid w:val="00CB640B"/>
    <w:rsid w:val="00CC164A"/>
    <w:rsid w:val="00CE1573"/>
    <w:rsid w:val="00CE54D8"/>
    <w:rsid w:val="00CE7A26"/>
    <w:rsid w:val="00CF4661"/>
    <w:rsid w:val="00CF5752"/>
    <w:rsid w:val="00CF5BC7"/>
    <w:rsid w:val="00CF7072"/>
    <w:rsid w:val="00D12E4F"/>
    <w:rsid w:val="00D17AFC"/>
    <w:rsid w:val="00D21E01"/>
    <w:rsid w:val="00D222DF"/>
    <w:rsid w:val="00D236B7"/>
    <w:rsid w:val="00D31ED4"/>
    <w:rsid w:val="00D37087"/>
    <w:rsid w:val="00D444E5"/>
    <w:rsid w:val="00D477D9"/>
    <w:rsid w:val="00D51B90"/>
    <w:rsid w:val="00D55ED9"/>
    <w:rsid w:val="00D74AD1"/>
    <w:rsid w:val="00D82AB0"/>
    <w:rsid w:val="00D91442"/>
    <w:rsid w:val="00D92CFD"/>
    <w:rsid w:val="00D92F30"/>
    <w:rsid w:val="00DA0998"/>
    <w:rsid w:val="00DA1E37"/>
    <w:rsid w:val="00DA21A8"/>
    <w:rsid w:val="00DB1508"/>
    <w:rsid w:val="00DB21E7"/>
    <w:rsid w:val="00DB5D3D"/>
    <w:rsid w:val="00DC7F44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082E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75AE1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01C5"/>
    <w:rsid w:val="00ED3E50"/>
    <w:rsid w:val="00ED4839"/>
    <w:rsid w:val="00EF5FED"/>
    <w:rsid w:val="00EF7862"/>
    <w:rsid w:val="00F00B6B"/>
    <w:rsid w:val="00F03617"/>
    <w:rsid w:val="00F10ABE"/>
    <w:rsid w:val="00F113DC"/>
    <w:rsid w:val="00F1292D"/>
    <w:rsid w:val="00F13E46"/>
    <w:rsid w:val="00F25A2B"/>
    <w:rsid w:val="00F30EBA"/>
    <w:rsid w:val="00F33DA9"/>
    <w:rsid w:val="00F401E2"/>
    <w:rsid w:val="00F40379"/>
    <w:rsid w:val="00F4106F"/>
    <w:rsid w:val="00F41319"/>
    <w:rsid w:val="00F47756"/>
    <w:rsid w:val="00F477AC"/>
    <w:rsid w:val="00F50A1A"/>
    <w:rsid w:val="00F526AD"/>
    <w:rsid w:val="00F53DA1"/>
    <w:rsid w:val="00F54D10"/>
    <w:rsid w:val="00F5526F"/>
    <w:rsid w:val="00F65142"/>
    <w:rsid w:val="00F66AA5"/>
    <w:rsid w:val="00F730E5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178B"/>
    <w:rsid w:val="00FA3CC6"/>
    <w:rsid w:val="00FA6022"/>
    <w:rsid w:val="00FB4378"/>
    <w:rsid w:val="00FD3185"/>
    <w:rsid w:val="00FD4C2F"/>
    <w:rsid w:val="00FD7E9F"/>
    <w:rsid w:val="00FE1757"/>
    <w:rsid w:val="00FE53C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  <w:style w:type="paragraph" w:customStyle="1" w:styleId="msonormal0">
    <w:name w:val="msonormal"/>
    <w:basedOn w:val="Normal"/>
    <w:rsid w:val="006E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E0416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6E04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6E04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E04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E04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ListTable7Colorful">
    <w:name w:val="List Table 7 Colorful"/>
    <w:basedOn w:val="TableNormal"/>
    <w:uiPriority w:val="52"/>
    <w:rsid w:val="006E04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  <w:style w:type="paragraph" w:customStyle="1" w:styleId="msonormal0">
    <w:name w:val="msonormal"/>
    <w:basedOn w:val="Normal"/>
    <w:rsid w:val="006E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E0416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E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6E04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6E04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E04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E04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ListTable7Colorful">
    <w:name w:val="List Table 7 Colorful"/>
    <w:basedOn w:val="TableNormal"/>
    <w:uiPriority w:val="52"/>
    <w:rsid w:val="006E04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C0DB-2CA6-47FE-A1F8-1ECBEAEB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6293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2017-11-15T13:05:00Z</cp:lastPrinted>
  <dcterms:created xsi:type="dcterms:W3CDTF">2017-11-23T06:11:00Z</dcterms:created>
  <dcterms:modified xsi:type="dcterms:W3CDTF">2017-11-23T06:11:00Z</dcterms:modified>
</cp:coreProperties>
</file>