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9C" w:rsidRDefault="007B46B4" w:rsidP="007B46B4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46B4" w:rsidRPr="0062379C" w:rsidRDefault="007B46B4" w:rsidP="00F34C19">
      <w:pPr>
        <w:spacing w:before="100" w:beforeAutospacing="1" w:after="100" w:afterAutospacing="1" w:line="240" w:lineRule="auto"/>
        <w:ind w:left="2291" w:firstLine="589"/>
        <w:rPr>
          <w:rFonts w:ascii="Arial" w:hAnsi="Arial" w:cs="Arial"/>
          <w:b/>
        </w:rPr>
      </w:pPr>
      <w:r w:rsidRPr="0062379C">
        <w:rPr>
          <w:rFonts w:ascii="Arial" w:hAnsi="Arial" w:cs="Arial"/>
          <w:b/>
        </w:rPr>
        <w:t xml:space="preserve">  </w:t>
      </w:r>
      <w:r w:rsidR="00980091">
        <w:rPr>
          <w:rFonts w:ascii="Arial" w:hAnsi="Arial" w:cs="Arial"/>
          <w:b/>
        </w:rPr>
        <w:tab/>
      </w:r>
      <w:r w:rsidR="00980091">
        <w:rPr>
          <w:rFonts w:ascii="Arial" w:hAnsi="Arial" w:cs="Arial"/>
          <w:b/>
        </w:rPr>
        <w:tab/>
      </w:r>
      <w:r w:rsidR="008F071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>THE NATIONAL ASSEMBLY</w:t>
      </w:r>
    </w:p>
    <w:p w:rsidR="007B46B4" w:rsidRDefault="007B46B4" w:rsidP="00980091">
      <w:pPr>
        <w:spacing w:before="100" w:beforeAutospacing="1" w:after="0" w:line="240" w:lineRule="auto"/>
        <w:ind w:left="851" w:hanging="851"/>
        <w:rPr>
          <w:rFonts w:ascii="Arial" w:hAnsi="Arial" w:cs="Arial"/>
          <w:b/>
        </w:rPr>
      </w:pP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Pr="0062379C">
        <w:rPr>
          <w:rFonts w:ascii="Arial" w:hAnsi="Arial" w:cs="Arial"/>
          <w:b/>
        </w:rPr>
        <w:tab/>
      </w:r>
      <w:r w:rsidR="00980091">
        <w:rPr>
          <w:rFonts w:ascii="Arial" w:hAnsi="Arial" w:cs="Arial"/>
          <w:b/>
        </w:rPr>
        <w:tab/>
      </w:r>
      <w:r w:rsidR="00980091">
        <w:rPr>
          <w:rFonts w:ascii="Arial" w:hAnsi="Arial" w:cs="Arial"/>
          <w:b/>
        </w:rPr>
        <w:tab/>
      </w:r>
      <w:r w:rsidR="008F071C">
        <w:rPr>
          <w:rFonts w:ascii="Arial" w:hAnsi="Arial" w:cs="Arial"/>
          <w:b/>
        </w:rPr>
        <w:t xml:space="preserve">        </w:t>
      </w:r>
      <w:r w:rsidR="00DA392D">
        <w:rPr>
          <w:rFonts w:ascii="Arial" w:hAnsi="Arial" w:cs="Arial"/>
          <w:b/>
        </w:rPr>
        <w:t xml:space="preserve"> </w:t>
      </w:r>
      <w:r w:rsidRPr="0062379C">
        <w:rPr>
          <w:rFonts w:ascii="Arial" w:hAnsi="Arial" w:cs="Arial"/>
          <w:b/>
        </w:rPr>
        <w:t>QUESTION FOR WRITTEN REPLY</w:t>
      </w:r>
    </w:p>
    <w:p w:rsidR="00C168FA" w:rsidRPr="0062379C" w:rsidRDefault="00C168FA" w:rsidP="00F34C19">
      <w:pPr>
        <w:spacing w:before="100" w:beforeAutospacing="1"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C168FA" w:rsidRPr="00C168FA" w:rsidRDefault="00C168FA" w:rsidP="00F34C19">
      <w:pPr>
        <w:jc w:val="both"/>
        <w:rPr>
          <w:rFonts w:ascii="Arial" w:hAnsi="Arial" w:cs="Arial"/>
          <w:b/>
        </w:rPr>
      </w:pPr>
      <w:r w:rsidRPr="00C168FA">
        <w:rPr>
          <w:rFonts w:ascii="Arial" w:hAnsi="Arial" w:cs="Arial"/>
          <w:b/>
        </w:rPr>
        <w:t>3592.</w:t>
      </w:r>
      <w:r w:rsidRPr="00C168FA">
        <w:rPr>
          <w:rFonts w:ascii="Arial" w:hAnsi="Arial" w:cs="Arial"/>
          <w:b/>
        </w:rPr>
        <w:tab/>
        <w:t xml:space="preserve">Mr A R </w:t>
      </w:r>
      <w:proofErr w:type="spellStart"/>
      <w:r w:rsidRPr="00C168FA">
        <w:rPr>
          <w:rFonts w:ascii="Arial" w:hAnsi="Arial" w:cs="Arial"/>
          <w:b/>
        </w:rPr>
        <w:t>McLoughlin</w:t>
      </w:r>
      <w:proofErr w:type="spellEnd"/>
      <w:r w:rsidRPr="00C168FA">
        <w:rPr>
          <w:rFonts w:ascii="Arial" w:hAnsi="Arial" w:cs="Arial"/>
          <w:b/>
        </w:rPr>
        <w:t xml:space="preserve"> (DA) to ask the Minister of Trade and Industry:</w:t>
      </w:r>
    </w:p>
    <w:p w:rsidR="00A168D7" w:rsidRDefault="00C168FA" w:rsidP="00A168D7">
      <w:pPr>
        <w:spacing w:after="200" w:line="276" w:lineRule="auto"/>
        <w:ind w:left="709"/>
        <w:jc w:val="both"/>
        <w:rPr>
          <w:rFonts w:ascii="Arial" w:hAnsi="Arial" w:cs="Arial"/>
        </w:rPr>
      </w:pPr>
      <w:r w:rsidRPr="00C168FA">
        <w:rPr>
          <w:rFonts w:ascii="Arial" w:hAnsi="Arial" w:cs="Arial"/>
        </w:rPr>
        <w:t>(a) What is the total number of supplier invoices that currently remain unpaid by (i) his department and (ii) each entity reporting to him for more than (</w:t>
      </w:r>
      <w:proofErr w:type="spellStart"/>
      <w:proofErr w:type="gramStart"/>
      <w:r w:rsidRPr="00C168FA">
        <w:rPr>
          <w:rFonts w:ascii="Arial" w:hAnsi="Arial" w:cs="Arial"/>
        </w:rPr>
        <w:t>aa</w:t>
      </w:r>
      <w:proofErr w:type="spellEnd"/>
      <w:proofErr w:type="gramEnd"/>
      <w:r w:rsidRPr="00C168FA">
        <w:rPr>
          <w:rFonts w:ascii="Arial" w:hAnsi="Arial" w:cs="Arial"/>
        </w:rPr>
        <w:t>) 30 days, (bb) 60 days, (cc) 90 days and (</w:t>
      </w:r>
      <w:proofErr w:type="spellStart"/>
      <w:r w:rsidRPr="00C168FA">
        <w:rPr>
          <w:rFonts w:ascii="Arial" w:hAnsi="Arial" w:cs="Arial"/>
        </w:rPr>
        <w:t>dd</w:t>
      </w:r>
      <w:proofErr w:type="spellEnd"/>
      <w:r w:rsidRPr="00C168FA">
        <w:rPr>
          <w:rFonts w:ascii="Arial" w:hAnsi="Arial" w:cs="Arial"/>
        </w:rPr>
        <w:t>) 120 days and (b) what is the total amount outstanding in each case?</w:t>
      </w:r>
    </w:p>
    <w:p w:rsidR="00A168D7" w:rsidRDefault="00A168D7" w:rsidP="00A168D7">
      <w:pPr>
        <w:spacing w:after="200" w:line="276" w:lineRule="auto"/>
        <w:ind w:left="709"/>
        <w:jc w:val="both"/>
        <w:rPr>
          <w:rFonts w:ascii="Arial" w:hAnsi="Arial" w:cs="Arial"/>
        </w:rPr>
      </w:pPr>
    </w:p>
    <w:p w:rsidR="00A168D7" w:rsidRDefault="008F071C" w:rsidP="00F34C19">
      <w:pPr>
        <w:spacing w:after="200"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Response:</w:t>
      </w:r>
    </w:p>
    <w:p w:rsidR="00A168D7" w:rsidRPr="00A168D7" w:rsidRDefault="00A168D7" w:rsidP="00A168D7">
      <w:pPr>
        <w:spacing w:after="200"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(a) (</w:t>
      </w:r>
      <w:proofErr w:type="gramStart"/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>) (</w:t>
      </w:r>
      <w:proofErr w:type="spellStart"/>
      <w:r>
        <w:rPr>
          <w:rFonts w:ascii="Arial" w:hAnsi="Arial" w:cs="Arial"/>
          <w:b/>
        </w:rPr>
        <w:t>aa</w:t>
      </w:r>
      <w:proofErr w:type="spellEnd"/>
      <w:r>
        <w:rPr>
          <w:rFonts w:ascii="Arial" w:hAnsi="Arial" w:cs="Arial"/>
          <w:b/>
        </w:rPr>
        <w:t>) (bb) (cc) (</w:t>
      </w:r>
      <w:proofErr w:type="spellStart"/>
      <w:r>
        <w:rPr>
          <w:rFonts w:ascii="Arial" w:hAnsi="Arial" w:cs="Arial"/>
          <w:b/>
        </w:rPr>
        <w:t>dd</w:t>
      </w:r>
      <w:proofErr w:type="spellEnd"/>
      <w:r>
        <w:rPr>
          <w:rFonts w:ascii="Arial" w:hAnsi="Arial" w:cs="Arial"/>
          <w:b/>
        </w:rPr>
        <w:t xml:space="preserve">) </w:t>
      </w:r>
    </w:p>
    <w:p w:rsidR="00A168D7" w:rsidRPr="00A168D7" w:rsidRDefault="00A168D7" w:rsidP="00A168D7">
      <w:pPr>
        <w:spacing w:after="200" w:line="276" w:lineRule="auto"/>
        <w:ind w:left="709"/>
        <w:jc w:val="both"/>
        <w:rPr>
          <w:rFonts w:ascii="Arial" w:hAnsi="Arial" w:cs="Arial"/>
        </w:rPr>
      </w:pPr>
      <w:r w:rsidRPr="00A168D7">
        <w:rPr>
          <w:rFonts w:ascii="Arial" w:hAnsi="Arial" w:cs="Arial"/>
        </w:rPr>
        <w:t xml:space="preserve">The department does not have any unpaid invoices that are outstanding for more than 30 days or longer. </w:t>
      </w:r>
    </w:p>
    <w:p w:rsidR="00A168D7" w:rsidRPr="00A168D7" w:rsidRDefault="00A168D7" w:rsidP="00A168D7">
      <w:pPr>
        <w:spacing w:after="200" w:line="276" w:lineRule="auto"/>
        <w:ind w:left="709"/>
        <w:jc w:val="both"/>
        <w:rPr>
          <w:rFonts w:ascii="Arial" w:hAnsi="Arial" w:cs="Arial"/>
        </w:rPr>
      </w:pPr>
      <w:proofErr w:type="gramStart"/>
      <w:r w:rsidRPr="00A168D7">
        <w:rPr>
          <w:rFonts w:ascii="Arial" w:hAnsi="Arial" w:cs="Arial"/>
          <w:b/>
        </w:rPr>
        <w:t>the</w:t>
      </w:r>
      <w:proofErr w:type="gramEnd"/>
      <w:r w:rsidRPr="00A168D7">
        <w:rPr>
          <w:rFonts w:ascii="Arial" w:hAnsi="Arial" w:cs="Arial"/>
          <w:b/>
        </w:rPr>
        <w:t xml:space="preserve"> </w:t>
      </w:r>
      <w:proofErr w:type="spellStart"/>
      <w:r w:rsidRPr="00A168D7">
        <w:rPr>
          <w:rFonts w:ascii="Arial" w:hAnsi="Arial" w:cs="Arial"/>
          <w:b/>
        </w:rPr>
        <w:t>dti</w:t>
      </w:r>
      <w:proofErr w:type="spellEnd"/>
      <w:r w:rsidRPr="00A168D7">
        <w:rPr>
          <w:rFonts w:ascii="Arial" w:hAnsi="Arial" w:cs="Arial"/>
        </w:rPr>
        <w:t xml:space="preserve"> has an invoice tracking and reporting system which allows the department to closely monitor and track invoices received within the department. Currently on average the department pays 40% of invoices within 15 days and the remainder within 30 days.</w:t>
      </w:r>
    </w:p>
    <w:p w:rsidR="00A168D7" w:rsidRDefault="00A168D7" w:rsidP="00F34C19">
      <w:pPr>
        <w:spacing w:after="200" w:line="276" w:lineRule="auto"/>
        <w:ind w:left="709"/>
        <w:jc w:val="both"/>
        <w:rPr>
          <w:rFonts w:ascii="Arial" w:hAnsi="Arial" w:cs="Arial"/>
          <w:b/>
        </w:rPr>
      </w:pPr>
    </w:p>
    <w:p w:rsidR="00A168D7" w:rsidRPr="00A168D7" w:rsidRDefault="00A168D7" w:rsidP="00F34C19">
      <w:pPr>
        <w:spacing w:after="200" w:line="276" w:lineRule="auto"/>
        <w:ind w:left="709"/>
        <w:jc w:val="both"/>
        <w:rPr>
          <w:rFonts w:ascii="Arial" w:hAnsi="Arial" w:cs="Arial"/>
          <w:b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275"/>
        <w:gridCol w:w="1277"/>
        <w:gridCol w:w="1275"/>
        <w:gridCol w:w="1418"/>
        <w:gridCol w:w="2977"/>
      </w:tblGrid>
      <w:tr w:rsidR="00C53085" w:rsidRPr="0062379C" w:rsidTr="00F34C19">
        <w:trPr>
          <w:trHeight w:val="574"/>
          <w:tblHeader/>
        </w:trPr>
        <w:tc>
          <w:tcPr>
            <w:tcW w:w="6379" w:type="dxa"/>
            <w:shd w:val="clear" w:color="auto" w:fill="FFC000"/>
          </w:tcPr>
          <w:p w:rsidR="00C53085" w:rsidRPr="0062379C" w:rsidRDefault="00C53085" w:rsidP="0062379C">
            <w:pPr>
              <w:spacing w:before="100" w:beforeAutospacing="1" w:after="0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Entity</w:t>
            </w:r>
          </w:p>
          <w:p w:rsidR="00C53085" w:rsidRPr="0062379C" w:rsidRDefault="00C53085" w:rsidP="007769FF">
            <w:pPr>
              <w:spacing w:after="100" w:afterAutospacing="1"/>
              <w:ind w:right="34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1275" w:type="dxa"/>
            <w:shd w:val="clear" w:color="auto" w:fill="FFC000"/>
          </w:tcPr>
          <w:p w:rsidR="00C53085" w:rsidRPr="0062379C" w:rsidRDefault="006242EE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a(ii)</w:t>
            </w:r>
            <w:r w:rsidR="00011BD4">
              <w:rPr>
                <w:rFonts w:ascii="Arial" w:hAnsi="Arial" w:cs="Arial"/>
                <w:b/>
                <w:u w:color="000000"/>
              </w:rPr>
              <w:t>(</w:t>
            </w:r>
            <w:proofErr w:type="spellStart"/>
            <w:r w:rsidR="00011BD4">
              <w:rPr>
                <w:rFonts w:ascii="Arial" w:hAnsi="Arial" w:cs="Arial"/>
                <w:b/>
                <w:u w:color="000000"/>
              </w:rPr>
              <w:t>aa</w:t>
            </w:r>
            <w:proofErr w:type="spellEnd"/>
            <w:r w:rsidR="00011BD4">
              <w:rPr>
                <w:rFonts w:ascii="Arial" w:hAnsi="Arial" w:cs="Arial"/>
                <w:b/>
                <w:u w:color="000000"/>
              </w:rPr>
              <w:t>)</w:t>
            </w:r>
          </w:p>
        </w:tc>
        <w:tc>
          <w:tcPr>
            <w:tcW w:w="1277" w:type="dxa"/>
            <w:shd w:val="clear" w:color="auto" w:fill="FFC000"/>
          </w:tcPr>
          <w:p w:rsidR="00C53085" w:rsidRPr="0062379C" w:rsidRDefault="006242EE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a(ii)</w:t>
            </w:r>
            <w:r w:rsidR="00011BD4">
              <w:rPr>
                <w:rFonts w:ascii="Arial" w:hAnsi="Arial" w:cs="Arial"/>
                <w:b/>
                <w:u w:color="000000"/>
              </w:rPr>
              <w:t>(bb)</w:t>
            </w:r>
          </w:p>
        </w:tc>
        <w:tc>
          <w:tcPr>
            <w:tcW w:w="1275" w:type="dxa"/>
            <w:shd w:val="clear" w:color="auto" w:fill="FFC000"/>
          </w:tcPr>
          <w:p w:rsidR="00C53085" w:rsidRDefault="006242EE" w:rsidP="00C53085">
            <w:pPr>
              <w:spacing w:before="100" w:beforeAutospacing="1" w:after="100" w:afterAutospacing="1"/>
              <w:ind w:left="-250" w:firstLine="250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a(ii)</w:t>
            </w:r>
            <w:r w:rsidR="00011BD4">
              <w:rPr>
                <w:rFonts w:ascii="Arial" w:hAnsi="Arial" w:cs="Arial"/>
                <w:b/>
                <w:u w:color="000000"/>
              </w:rPr>
              <w:t>(cc)</w:t>
            </w:r>
          </w:p>
        </w:tc>
        <w:tc>
          <w:tcPr>
            <w:tcW w:w="1418" w:type="dxa"/>
            <w:shd w:val="clear" w:color="auto" w:fill="FFC000"/>
          </w:tcPr>
          <w:p w:rsidR="00C53085" w:rsidRDefault="006242EE" w:rsidP="0062379C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a(ii)</w:t>
            </w:r>
            <w:r w:rsidR="00011BD4">
              <w:rPr>
                <w:rFonts w:ascii="Arial" w:hAnsi="Arial" w:cs="Arial"/>
                <w:b/>
                <w:u w:color="000000"/>
              </w:rPr>
              <w:t>(</w:t>
            </w:r>
            <w:proofErr w:type="spellStart"/>
            <w:r w:rsidR="00011BD4">
              <w:rPr>
                <w:rFonts w:ascii="Arial" w:hAnsi="Arial" w:cs="Arial"/>
                <w:b/>
                <w:u w:color="000000"/>
              </w:rPr>
              <w:t>dd</w:t>
            </w:r>
            <w:proofErr w:type="spellEnd"/>
            <w:r w:rsidR="00011BD4">
              <w:rPr>
                <w:rFonts w:ascii="Arial" w:hAnsi="Arial" w:cs="Arial"/>
                <w:b/>
                <w:u w:color="000000"/>
              </w:rPr>
              <w:t>)</w:t>
            </w:r>
          </w:p>
        </w:tc>
        <w:tc>
          <w:tcPr>
            <w:tcW w:w="2977" w:type="dxa"/>
            <w:shd w:val="clear" w:color="auto" w:fill="FFC000"/>
          </w:tcPr>
          <w:p w:rsidR="00C53085" w:rsidRDefault="006242EE" w:rsidP="00C168FA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>
              <w:rPr>
                <w:rFonts w:ascii="Arial" w:hAnsi="Arial" w:cs="Arial"/>
                <w:b/>
                <w:u w:color="000000"/>
              </w:rPr>
              <w:t>a(ii)</w:t>
            </w:r>
            <w:r w:rsidR="00C168FA">
              <w:rPr>
                <w:rFonts w:ascii="Arial" w:hAnsi="Arial" w:cs="Arial"/>
                <w:b/>
                <w:u w:color="000000"/>
              </w:rPr>
              <w:t>(b)</w:t>
            </w:r>
          </w:p>
        </w:tc>
      </w:tr>
      <w:tr w:rsidR="00326D9D" w:rsidRPr="0062379C" w:rsidTr="00F34C19">
        <w:trPr>
          <w:trHeight w:val="319"/>
        </w:trPr>
        <w:tc>
          <w:tcPr>
            <w:tcW w:w="6379" w:type="dxa"/>
            <w:shd w:val="clear" w:color="auto" w:fill="FFFFFF" w:themeFill="background1"/>
          </w:tcPr>
          <w:p w:rsidR="00326D9D" w:rsidRPr="00326D9D" w:rsidRDefault="00326D9D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326D9D">
              <w:rPr>
                <w:rFonts w:ascii="Arial" w:hAnsi="Arial" w:cs="Arial"/>
                <w:b/>
                <w:u w:color="000000"/>
              </w:rPr>
              <w:t>Companies and Intellectual Property Commission (CIPC)</w:t>
            </w:r>
          </w:p>
        </w:tc>
        <w:tc>
          <w:tcPr>
            <w:tcW w:w="1275" w:type="dxa"/>
            <w:shd w:val="clear" w:color="auto" w:fill="FFFFFF" w:themeFill="background1"/>
          </w:tcPr>
          <w:p w:rsidR="00326D9D" w:rsidRDefault="00326D9D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  <w:p w:rsidR="00F34C19" w:rsidRPr="0062379C" w:rsidRDefault="00F34C19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326D9D" w:rsidRPr="006F4B9D" w:rsidRDefault="00326D9D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326D9D" w:rsidRPr="006F4B9D" w:rsidRDefault="00326D9D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326D9D" w:rsidRPr="006F4B9D" w:rsidRDefault="00326D9D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326D9D" w:rsidRPr="006F4B9D" w:rsidRDefault="006242EE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914064" w:rsidRPr="0062379C" w:rsidTr="00F34C19">
        <w:trPr>
          <w:trHeight w:val="289"/>
        </w:trPr>
        <w:tc>
          <w:tcPr>
            <w:tcW w:w="6379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FC1C3D">
              <w:rPr>
                <w:rFonts w:ascii="Arial" w:hAnsi="Arial" w:cs="Arial"/>
                <w:b/>
                <w:color w:val="000000" w:themeColor="text1"/>
                <w:u w:color="000000"/>
              </w:rPr>
              <w:t>Companies Tribunal (CT)</w:t>
            </w:r>
          </w:p>
          <w:p w:rsidR="00F34C19" w:rsidRPr="00FC1C3D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14064" w:rsidRPr="0062379C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</w:pPr>
            <w:r w:rsidRPr="00F03F49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914064" w:rsidRPr="0062379C" w:rsidTr="00F34C19">
        <w:trPr>
          <w:trHeight w:val="285"/>
        </w:trPr>
        <w:tc>
          <w:tcPr>
            <w:tcW w:w="6379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F843F6">
              <w:rPr>
                <w:rFonts w:ascii="Arial" w:hAnsi="Arial" w:cs="Arial"/>
                <w:b/>
                <w:color w:val="000000" w:themeColor="text1"/>
                <w:u w:color="000000"/>
              </w:rPr>
              <w:t>Export Credit Insurance Corporation (ECIC)</w:t>
            </w:r>
          </w:p>
          <w:p w:rsidR="00F34C19" w:rsidRPr="00F843F6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14064" w:rsidRPr="0062379C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</w:pPr>
            <w:r w:rsidRPr="00F03F49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F843F6" w:rsidRPr="0062379C" w:rsidTr="00F34C19">
        <w:trPr>
          <w:trHeight w:val="804"/>
        </w:trPr>
        <w:tc>
          <w:tcPr>
            <w:tcW w:w="6379" w:type="dxa"/>
            <w:shd w:val="clear" w:color="auto" w:fill="FFFFFF" w:themeFill="background1"/>
          </w:tcPr>
          <w:p w:rsidR="00F843F6" w:rsidRPr="00F843F6" w:rsidRDefault="00F843F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F843F6">
              <w:rPr>
                <w:rFonts w:ascii="Arial" w:hAnsi="Arial" w:cs="Arial"/>
                <w:b/>
                <w:color w:val="000000" w:themeColor="text1"/>
                <w:u w:color="000000"/>
              </w:rPr>
              <w:t>National Consumer Commission (NCC)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2379C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4 </w:t>
            </w:r>
          </w:p>
        </w:tc>
        <w:tc>
          <w:tcPr>
            <w:tcW w:w="1277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2 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3 </w:t>
            </w:r>
          </w:p>
        </w:tc>
        <w:tc>
          <w:tcPr>
            <w:tcW w:w="1418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6242EE" w:rsidRDefault="006242EE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30 days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– </w:t>
            </w: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R55 296.01</w:t>
            </w:r>
          </w:p>
          <w:p w:rsidR="006242EE" w:rsidRDefault="006242EE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60 days – R25 240.04</w:t>
            </w:r>
          </w:p>
          <w:p w:rsidR="00F843F6" w:rsidRPr="006F4B9D" w:rsidRDefault="006242EE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90 days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– </w:t>
            </w: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R22 514.49</w:t>
            </w:r>
          </w:p>
        </w:tc>
      </w:tr>
      <w:tr w:rsidR="00F843F6" w:rsidRPr="0062379C" w:rsidTr="00F34C19">
        <w:trPr>
          <w:trHeight w:val="283"/>
        </w:trPr>
        <w:tc>
          <w:tcPr>
            <w:tcW w:w="6379" w:type="dxa"/>
            <w:shd w:val="clear" w:color="auto" w:fill="FFFFFF" w:themeFill="background1"/>
          </w:tcPr>
          <w:p w:rsidR="00F843F6" w:rsidRDefault="00F843F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B80A19">
              <w:rPr>
                <w:rFonts w:ascii="Arial" w:hAnsi="Arial" w:cs="Arial"/>
                <w:b/>
                <w:color w:val="000000" w:themeColor="text1"/>
                <w:u w:color="000000"/>
              </w:rPr>
              <w:t>National Consumer Tribunal (NCT)</w:t>
            </w:r>
          </w:p>
          <w:p w:rsidR="00F34C19" w:rsidRPr="00B80A19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43F6" w:rsidRPr="0062379C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F843F6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914064" w:rsidRPr="0062379C" w:rsidTr="00F34C19">
        <w:trPr>
          <w:trHeight w:val="257"/>
        </w:trPr>
        <w:tc>
          <w:tcPr>
            <w:tcW w:w="6379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144ABF">
              <w:rPr>
                <w:rFonts w:ascii="Arial" w:hAnsi="Arial" w:cs="Arial"/>
                <w:b/>
                <w:u w:color="000000"/>
              </w:rPr>
              <w:t>National Credit Regulator (NCR)</w:t>
            </w:r>
          </w:p>
          <w:p w:rsidR="00F34C19" w:rsidRPr="00144ABF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14064" w:rsidRPr="0062379C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</w:pPr>
            <w:r w:rsidRPr="006B48EA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914064" w:rsidRPr="0062379C" w:rsidTr="00F34C19">
        <w:trPr>
          <w:trHeight w:val="254"/>
        </w:trPr>
        <w:tc>
          <w:tcPr>
            <w:tcW w:w="6379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326D9D">
              <w:rPr>
                <w:rFonts w:ascii="Arial" w:hAnsi="Arial" w:cs="Arial"/>
                <w:b/>
                <w:u w:color="000000"/>
              </w:rPr>
              <w:t>National Empowerment Fund (NEF)</w:t>
            </w:r>
          </w:p>
          <w:p w:rsidR="00F34C19" w:rsidRPr="00326D9D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14064" w:rsidRPr="0062379C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</w:pPr>
            <w:r w:rsidRPr="006B48EA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914064" w:rsidRPr="0062379C" w:rsidTr="00F34C19">
        <w:trPr>
          <w:trHeight w:val="277"/>
        </w:trPr>
        <w:tc>
          <w:tcPr>
            <w:tcW w:w="6379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National Gambling Board (NGB)</w:t>
            </w:r>
          </w:p>
          <w:p w:rsidR="00F34C19" w:rsidRPr="0062379C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14064" w:rsidRPr="0062379C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914064" w:rsidRPr="006F4B9D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914064" w:rsidRDefault="00914064" w:rsidP="00F34C19">
            <w:pPr>
              <w:spacing w:after="0" w:line="240" w:lineRule="auto"/>
            </w:pPr>
            <w:r w:rsidRPr="006B48EA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1B1537" w:rsidRPr="0062379C" w:rsidTr="00F34C19">
        <w:trPr>
          <w:trHeight w:val="273"/>
        </w:trPr>
        <w:tc>
          <w:tcPr>
            <w:tcW w:w="6379" w:type="dxa"/>
            <w:shd w:val="clear" w:color="auto" w:fill="FFFFFF" w:themeFill="background1"/>
          </w:tcPr>
          <w:p w:rsidR="001B1537" w:rsidRDefault="001B1537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143473">
              <w:rPr>
                <w:rFonts w:ascii="Arial" w:hAnsi="Arial" w:cs="Arial"/>
                <w:b/>
                <w:color w:val="000000" w:themeColor="text1"/>
                <w:u w:color="000000"/>
              </w:rPr>
              <w:t>National Lotteries Commission (NLC)</w:t>
            </w:r>
          </w:p>
          <w:p w:rsidR="00F34C19" w:rsidRPr="00143473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B1537" w:rsidRPr="0062379C" w:rsidRDefault="001B1537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</w:tcPr>
          <w:p w:rsidR="001B1537" w:rsidRPr="006F4B9D" w:rsidRDefault="001B1537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1B1537" w:rsidRPr="0062379C" w:rsidRDefault="001B1537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1B1537" w:rsidRPr="006F4B9D" w:rsidRDefault="001B1537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1B1537" w:rsidRDefault="001B1537" w:rsidP="00F34C19">
            <w:pPr>
              <w:spacing w:after="0" w:line="240" w:lineRule="auto"/>
            </w:pPr>
            <w:r>
              <w:rPr>
                <w:rFonts w:ascii="Arial" w:hAnsi="Arial" w:cs="Arial"/>
                <w:u w:color="000000"/>
              </w:rPr>
              <w:t>30 days</w:t>
            </w:r>
            <w:r w:rsidR="007769FF">
              <w:rPr>
                <w:rFonts w:ascii="Arial" w:hAnsi="Arial" w:cs="Arial"/>
                <w:u w:color="000000"/>
              </w:rPr>
              <w:t xml:space="preserve"> 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– </w:t>
            </w:r>
            <w:r>
              <w:rPr>
                <w:rFonts w:ascii="Arial" w:hAnsi="Arial" w:cs="Arial"/>
                <w:u w:color="000000"/>
              </w:rPr>
              <w:t>R2 119 285.69</w:t>
            </w:r>
          </w:p>
        </w:tc>
      </w:tr>
      <w:tr w:rsidR="00F843F6" w:rsidRPr="0062379C" w:rsidTr="00F34C19">
        <w:trPr>
          <w:trHeight w:val="281"/>
        </w:trPr>
        <w:tc>
          <w:tcPr>
            <w:tcW w:w="6379" w:type="dxa"/>
            <w:shd w:val="clear" w:color="auto" w:fill="FFFFFF" w:themeFill="background1"/>
          </w:tcPr>
          <w:p w:rsidR="00F843F6" w:rsidRDefault="00F843F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FC1C3D">
              <w:rPr>
                <w:rFonts w:ascii="Arial" w:hAnsi="Arial" w:cs="Arial"/>
                <w:b/>
                <w:color w:val="000000" w:themeColor="text1"/>
                <w:u w:color="000000"/>
              </w:rPr>
              <w:t>National Metrology Institute of South Africa  (NMISA)</w:t>
            </w:r>
          </w:p>
          <w:p w:rsidR="00F34C19" w:rsidRPr="00FC1C3D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43F6" w:rsidRPr="0062379C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F843F6" w:rsidRPr="0062379C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 w:rsidRPr="006B48EA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Not applicable</w:t>
            </w:r>
          </w:p>
        </w:tc>
      </w:tr>
      <w:tr w:rsidR="00F843F6" w:rsidRPr="0062379C" w:rsidTr="00F34C19">
        <w:trPr>
          <w:trHeight w:val="819"/>
        </w:trPr>
        <w:tc>
          <w:tcPr>
            <w:tcW w:w="6379" w:type="dxa"/>
            <w:shd w:val="clear" w:color="auto" w:fill="FFFFFF" w:themeFill="background1"/>
          </w:tcPr>
          <w:p w:rsidR="00F843F6" w:rsidRPr="001B1537" w:rsidRDefault="00F843F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1B1537">
              <w:rPr>
                <w:rFonts w:ascii="Arial" w:hAnsi="Arial" w:cs="Arial"/>
                <w:b/>
                <w:color w:val="000000" w:themeColor="text1"/>
                <w:u w:color="000000"/>
              </w:rPr>
              <w:t>National Regulator For Compulsory Specifications (NRCS)</w:t>
            </w:r>
          </w:p>
        </w:tc>
        <w:tc>
          <w:tcPr>
            <w:tcW w:w="1275" w:type="dxa"/>
            <w:shd w:val="clear" w:color="auto" w:fill="FFFFFF" w:themeFill="background1"/>
          </w:tcPr>
          <w:p w:rsidR="00B836D3" w:rsidRPr="0062379C" w:rsidRDefault="001B1537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</w:tcPr>
          <w:p w:rsidR="00F843F6" w:rsidRPr="006F4B9D" w:rsidRDefault="00B836D3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11 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F4B9D" w:rsidRDefault="00B836D3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2 </w:t>
            </w:r>
          </w:p>
        </w:tc>
        <w:tc>
          <w:tcPr>
            <w:tcW w:w="1418" w:type="dxa"/>
            <w:shd w:val="clear" w:color="auto" w:fill="FFFFFF" w:themeFill="background1"/>
          </w:tcPr>
          <w:p w:rsidR="00F843F6" w:rsidRPr="006F4B9D" w:rsidRDefault="00B836D3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16 </w:t>
            </w:r>
          </w:p>
        </w:tc>
        <w:tc>
          <w:tcPr>
            <w:tcW w:w="2977" w:type="dxa"/>
            <w:shd w:val="clear" w:color="auto" w:fill="FFFFFF" w:themeFill="background1"/>
          </w:tcPr>
          <w:p w:rsidR="00914064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30 days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– 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R559 893.00</w:t>
            </w:r>
          </w:p>
          <w:p w:rsidR="00914064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60 days – 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R1 585 272.46</w:t>
            </w:r>
          </w:p>
          <w:p w:rsidR="00914064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90 days 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–</w:t>
            </w: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R96 852.81</w:t>
            </w:r>
          </w:p>
          <w:p w:rsidR="00F843F6" w:rsidRPr="006F4B9D" w:rsidRDefault="00914064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120 days</w:t>
            </w:r>
            <w:r w:rsidR="007769FF">
              <w:rPr>
                <w:rFonts w:ascii="Arial" w:hAnsi="Arial" w:cs="Arial"/>
                <w:u w:color="000000"/>
              </w:rPr>
              <w:t xml:space="preserve"> 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–</w:t>
            </w:r>
            <w:r>
              <w:rPr>
                <w:rFonts w:ascii="Arial" w:hAnsi="Arial" w:cs="Arial"/>
                <w:u w:color="000000"/>
              </w:rPr>
              <w:t xml:space="preserve"> 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R74 157. 12</w:t>
            </w:r>
          </w:p>
        </w:tc>
      </w:tr>
      <w:tr w:rsidR="00F843F6" w:rsidRPr="0062379C" w:rsidTr="00F34C19">
        <w:trPr>
          <w:trHeight w:val="748"/>
        </w:trPr>
        <w:tc>
          <w:tcPr>
            <w:tcW w:w="6379" w:type="dxa"/>
            <w:shd w:val="clear" w:color="auto" w:fill="FFFFFF" w:themeFill="background1"/>
          </w:tcPr>
          <w:p w:rsidR="00F843F6" w:rsidRPr="001B1537" w:rsidRDefault="00F843F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color w:val="000000" w:themeColor="text1"/>
                <w:u w:color="000000"/>
              </w:rPr>
            </w:pPr>
            <w:r w:rsidRPr="001B1537">
              <w:rPr>
                <w:rFonts w:ascii="Arial" w:hAnsi="Arial" w:cs="Arial"/>
                <w:b/>
                <w:color w:val="000000" w:themeColor="text1"/>
                <w:u w:color="000000"/>
              </w:rPr>
              <w:t>South African Bureau of Standards (SABS)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2379C" w:rsidRDefault="001B1537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F843F6" w:rsidRPr="006F4B9D" w:rsidRDefault="001B1537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57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F4B9D" w:rsidRDefault="001B1537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F843F6" w:rsidRPr="0062379C" w:rsidRDefault="001B1537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914064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60 days – 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R1000 854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.00</w:t>
            </w:r>
          </w:p>
          <w:p w:rsidR="00914064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90 days 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–</w:t>
            </w: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 xml:space="preserve"> 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R97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 </w:t>
            </w:r>
            <w:r w:rsidR="001B1537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280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.00</w:t>
            </w:r>
          </w:p>
          <w:p w:rsidR="00F843F6" w:rsidRPr="001B1537" w:rsidRDefault="00914064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85"/>
              </w:tabs>
              <w:spacing w:after="0" w:line="240" w:lineRule="auto"/>
              <w:jc w:val="both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 xml:space="preserve">120 days </w:t>
            </w:r>
            <w:r w:rsidR="007769FF"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–</w:t>
            </w:r>
            <w:r w:rsidR="007769FF">
              <w:rPr>
                <w:rFonts w:ascii="Arial" w:hAnsi="Arial" w:cs="Arial"/>
                <w:u w:color="000000"/>
              </w:rPr>
              <w:t xml:space="preserve"> </w:t>
            </w:r>
            <w:r w:rsidR="001B1537">
              <w:rPr>
                <w:rFonts w:ascii="Arial" w:hAnsi="Arial" w:cs="Arial"/>
                <w:u w:color="000000"/>
              </w:rPr>
              <w:t>R76</w:t>
            </w:r>
            <w:r w:rsidR="007769FF">
              <w:rPr>
                <w:rFonts w:ascii="Arial" w:hAnsi="Arial" w:cs="Arial"/>
                <w:u w:color="000000"/>
              </w:rPr>
              <w:t> </w:t>
            </w:r>
            <w:r w:rsidR="001B1537">
              <w:rPr>
                <w:rFonts w:ascii="Arial" w:hAnsi="Arial" w:cs="Arial"/>
                <w:u w:color="000000"/>
              </w:rPr>
              <w:t>167</w:t>
            </w:r>
            <w:r w:rsidR="007769FF">
              <w:rPr>
                <w:rFonts w:ascii="Arial" w:hAnsi="Arial" w:cs="Arial"/>
                <w:u w:color="000000"/>
              </w:rPr>
              <w:t>.00</w:t>
            </w:r>
          </w:p>
        </w:tc>
      </w:tr>
      <w:tr w:rsidR="00F843F6" w:rsidRPr="0062379C" w:rsidTr="00F34C19">
        <w:trPr>
          <w:trHeight w:val="183"/>
        </w:trPr>
        <w:tc>
          <w:tcPr>
            <w:tcW w:w="6379" w:type="dxa"/>
            <w:shd w:val="clear" w:color="auto" w:fill="FFFFFF" w:themeFill="background1"/>
          </w:tcPr>
          <w:p w:rsidR="00F843F6" w:rsidRDefault="00F843F6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  <w:r w:rsidRPr="0062379C">
              <w:rPr>
                <w:rFonts w:ascii="Arial" w:hAnsi="Arial" w:cs="Arial"/>
                <w:b/>
                <w:u w:color="000000"/>
              </w:rPr>
              <w:t>South African National Accreditation System (SANAS)</w:t>
            </w:r>
          </w:p>
          <w:p w:rsidR="00F34C19" w:rsidRPr="0062379C" w:rsidRDefault="00F34C19" w:rsidP="00F34C19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u w:color="00000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843F6" w:rsidRPr="0062379C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7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275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1418" w:type="dxa"/>
            <w:shd w:val="clear" w:color="auto" w:fill="FFFFFF" w:themeFill="background1"/>
          </w:tcPr>
          <w:p w:rsidR="00F843F6" w:rsidRPr="006F4B9D" w:rsidRDefault="00F843F6" w:rsidP="00F34C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</w:pPr>
            <w:r>
              <w:rPr>
                <w:rFonts w:ascii="Arial" w:eastAsia="Arial Unicode MS" w:hAnsi="Arial" w:cs="Arial"/>
                <w:u w:color="000000"/>
                <w:bdr w:val="nil"/>
                <w:lang w:val="en-US" w:eastAsia="en-ZA"/>
              </w:rPr>
              <w:t>None</w:t>
            </w:r>
          </w:p>
        </w:tc>
        <w:tc>
          <w:tcPr>
            <w:tcW w:w="2977" w:type="dxa"/>
            <w:shd w:val="clear" w:color="auto" w:fill="FFFFFF" w:themeFill="background1"/>
          </w:tcPr>
          <w:p w:rsidR="00F843F6" w:rsidRPr="006F4B9D" w:rsidRDefault="00914064" w:rsidP="00F34C19">
            <w:pPr>
              <w:spacing w:after="0" w:line="240" w:lineRule="auto"/>
              <w:contextualSpacing/>
              <w:jc w:val="both"/>
              <w:outlineLvl w:val="0"/>
              <w:rPr>
                <w:rFonts w:ascii="Arial" w:hAnsi="Arial" w:cs="Arial"/>
                <w:u w:color="000000"/>
              </w:rPr>
            </w:pPr>
            <w:r>
              <w:rPr>
                <w:rFonts w:ascii="Arial" w:hAnsi="Arial" w:cs="Arial"/>
                <w:u w:color="000000"/>
              </w:rPr>
              <w:t>Not applicable</w:t>
            </w:r>
          </w:p>
        </w:tc>
      </w:tr>
    </w:tbl>
    <w:p w:rsidR="0086624B" w:rsidRDefault="007B46B4">
      <w:pPr>
        <w:rPr>
          <w:sz w:val="20"/>
          <w:szCs w:val="20"/>
        </w:rPr>
      </w:pPr>
      <w:r>
        <w:tab/>
      </w:r>
    </w:p>
    <w:sectPr w:rsidR="0086624B" w:rsidSect="000032C6">
      <w:footerReference w:type="default" r:id="rId9"/>
      <w:pgSz w:w="16838" w:h="11906" w:orient="landscape"/>
      <w:pgMar w:top="993" w:right="1440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81" w:rsidRDefault="000A3181" w:rsidP="000032C6">
      <w:pPr>
        <w:spacing w:after="0" w:line="240" w:lineRule="auto"/>
      </w:pPr>
      <w:r>
        <w:separator/>
      </w:r>
    </w:p>
  </w:endnote>
  <w:endnote w:type="continuationSeparator" w:id="0">
    <w:p w:rsidR="000A3181" w:rsidRDefault="000A3181" w:rsidP="000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6479079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32C6" w:rsidRPr="000032C6" w:rsidRDefault="000032C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2C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A39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032C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A39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032C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32C6" w:rsidRDefault="00003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81" w:rsidRDefault="000A3181" w:rsidP="000032C6">
      <w:pPr>
        <w:spacing w:after="0" w:line="240" w:lineRule="auto"/>
      </w:pPr>
      <w:r>
        <w:separator/>
      </w:r>
    </w:p>
  </w:footnote>
  <w:footnote w:type="continuationSeparator" w:id="0">
    <w:p w:rsidR="000A3181" w:rsidRDefault="000A3181" w:rsidP="0000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2C37"/>
    <w:multiLevelType w:val="hybridMultilevel"/>
    <w:tmpl w:val="9C7A9500"/>
    <w:lvl w:ilvl="0" w:tplc="2BE2FADE">
      <w:start w:val="1"/>
      <w:numFmt w:val="lowerLetter"/>
      <w:lvlText w:val="%1)"/>
      <w:lvlJc w:val="left"/>
      <w:pPr>
        <w:ind w:left="117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7AF54E7E"/>
    <w:multiLevelType w:val="hybridMultilevel"/>
    <w:tmpl w:val="9C7A9500"/>
    <w:lvl w:ilvl="0" w:tplc="2BE2FADE">
      <w:start w:val="1"/>
      <w:numFmt w:val="lowerLetter"/>
      <w:lvlText w:val="%1)"/>
      <w:lvlJc w:val="left"/>
      <w:pPr>
        <w:ind w:left="1171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4"/>
    <w:rsid w:val="000032C6"/>
    <w:rsid w:val="00011BD4"/>
    <w:rsid w:val="000A3181"/>
    <w:rsid w:val="00143473"/>
    <w:rsid w:val="00144ABF"/>
    <w:rsid w:val="001B1537"/>
    <w:rsid w:val="00304B5B"/>
    <w:rsid w:val="00326D9D"/>
    <w:rsid w:val="00374A8D"/>
    <w:rsid w:val="003A1D18"/>
    <w:rsid w:val="003E3885"/>
    <w:rsid w:val="00552B61"/>
    <w:rsid w:val="005C2AF0"/>
    <w:rsid w:val="0062379C"/>
    <w:rsid w:val="006242EE"/>
    <w:rsid w:val="00627CF0"/>
    <w:rsid w:val="006575E9"/>
    <w:rsid w:val="006934BF"/>
    <w:rsid w:val="006B467B"/>
    <w:rsid w:val="006E3831"/>
    <w:rsid w:val="006F4B9D"/>
    <w:rsid w:val="006F5C21"/>
    <w:rsid w:val="006F781D"/>
    <w:rsid w:val="00700C26"/>
    <w:rsid w:val="00770B80"/>
    <w:rsid w:val="007769FF"/>
    <w:rsid w:val="007B46B4"/>
    <w:rsid w:val="007B7839"/>
    <w:rsid w:val="0086624B"/>
    <w:rsid w:val="00881172"/>
    <w:rsid w:val="008F071C"/>
    <w:rsid w:val="008F100A"/>
    <w:rsid w:val="00910F0B"/>
    <w:rsid w:val="00914064"/>
    <w:rsid w:val="00915A39"/>
    <w:rsid w:val="009501BC"/>
    <w:rsid w:val="00980091"/>
    <w:rsid w:val="009C2D0F"/>
    <w:rsid w:val="009F4B72"/>
    <w:rsid w:val="00A168D7"/>
    <w:rsid w:val="00A85C7B"/>
    <w:rsid w:val="00B80A19"/>
    <w:rsid w:val="00B836D3"/>
    <w:rsid w:val="00BA61C0"/>
    <w:rsid w:val="00C168FA"/>
    <w:rsid w:val="00C42A24"/>
    <w:rsid w:val="00C51E7F"/>
    <w:rsid w:val="00C53085"/>
    <w:rsid w:val="00CD2A96"/>
    <w:rsid w:val="00D417AE"/>
    <w:rsid w:val="00DA392D"/>
    <w:rsid w:val="00DC2278"/>
    <w:rsid w:val="00DC4EF9"/>
    <w:rsid w:val="00E83BFC"/>
    <w:rsid w:val="00EB7EB5"/>
    <w:rsid w:val="00F34C19"/>
    <w:rsid w:val="00F53CE9"/>
    <w:rsid w:val="00F6758F"/>
    <w:rsid w:val="00F843F6"/>
    <w:rsid w:val="00F854E0"/>
    <w:rsid w:val="00FC1C3D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FC"/>
    <w:pPr>
      <w:ind w:left="720"/>
      <w:contextualSpacing/>
    </w:pPr>
  </w:style>
  <w:style w:type="table" w:styleId="TableGrid">
    <w:name w:val="Table Grid"/>
    <w:basedOn w:val="TableNormal"/>
    <w:uiPriority w:val="59"/>
    <w:rsid w:val="0062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C6"/>
  </w:style>
  <w:style w:type="paragraph" w:styleId="Footer">
    <w:name w:val="footer"/>
    <w:basedOn w:val="Normal"/>
    <w:link w:val="Foot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FC"/>
    <w:pPr>
      <w:ind w:left="720"/>
      <w:contextualSpacing/>
    </w:pPr>
  </w:style>
  <w:style w:type="table" w:styleId="TableGrid">
    <w:name w:val="Table Grid"/>
    <w:basedOn w:val="TableNormal"/>
    <w:uiPriority w:val="59"/>
    <w:rsid w:val="0062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C6"/>
  </w:style>
  <w:style w:type="paragraph" w:styleId="Footer">
    <w:name w:val="footer"/>
    <w:basedOn w:val="Normal"/>
    <w:link w:val="FooterChar"/>
    <w:uiPriority w:val="99"/>
    <w:unhideWhenUsed/>
    <w:rsid w:val="0000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648C-3485-487A-86AE-9AA66C7D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cp:lastPrinted>2017-11-07T13:17:00Z</cp:lastPrinted>
  <dcterms:created xsi:type="dcterms:W3CDTF">2017-11-08T13:50:00Z</dcterms:created>
  <dcterms:modified xsi:type="dcterms:W3CDTF">2017-11-08T13:50:00Z</dcterms:modified>
</cp:coreProperties>
</file>