
<file path=[Content_Types].xml><?xml version="1.0" encoding="utf-8"?>
<Types xmlns="http://schemas.openxmlformats.org/package/2006/content-types">
  <Override PartName="/word/footnotes.xml" ContentType="application/vnd.openxmlformats-officedocument.wordprocessingml.footnotes+xml"/>
  <Override PartName="/word/theme/themeOverride2.xml" ContentType="application/vnd.openxmlformats-officedocument.themeOverride+xml"/>
  <Override PartName="/word/theme/themeOverride1.xml" ContentType="application/vnd.openxmlformats-officedocument.themeOverride+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8C527F" w:rsidRDefault="008C527F" w:rsidP="008C527F">
      <w:pPr>
        <w:pStyle w:val="BodyText"/>
        <w:rPr>
          <w:b/>
          <w:bCs/>
          <w:sz w:val="24"/>
          <w:u w:val="single"/>
        </w:rPr>
      </w:pPr>
      <w:r w:rsidRPr="0034705D">
        <w:rPr>
          <w:b/>
          <w:bCs/>
          <w:sz w:val="24"/>
          <w:u w:val="single"/>
        </w:rPr>
        <w:t xml:space="preserve">QUESTION NO. </w:t>
      </w:r>
      <w:r w:rsidR="00D26747">
        <w:rPr>
          <w:b/>
          <w:bCs/>
          <w:sz w:val="24"/>
          <w:u w:val="single"/>
        </w:rPr>
        <w:t>3</w:t>
      </w:r>
      <w:r w:rsidR="005C5F0A">
        <w:rPr>
          <w:b/>
          <w:bCs/>
          <w:sz w:val="24"/>
          <w:u w:val="single"/>
        </w:rPr>
        <w:t>5</w:t>
      </w:r>
      <w:r w:rsidR="00E67DB8">
        <w:rPr>
          <w:b/>
          <w:bCs/>
          <w:sz w:val="24"/>
          <w:u w:val="single"/>
        </w:rPr>
        <w:t>81</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8F7BA5">
        <w:rPr>
          <w:b/>
          <w:bCs/>
          <w:sz w:val="24"/>
          <w:u w:val="single"/>
        </w:rPr>
        <w:t>14 OCTOBER</w:t>
      </w:r>
      <w:r>
        <w:rPr>
          <w:b/>
          <w:bCs/>
          <w:sz w:val="24"/>
          <w:u w:val="single"/>
        </w:rPr>
        <w:t xml:space="preserve"> </w:t>
      </w:r>
      <w:r w:rsidRPr="00934798">
        <w:rPr>
          <w:b/>
          <w:bCs/>
          <w:sz w:val="24"/>
          <w:u w:val="single"/>
        </w:rPr>
        <w:t>20</w:t>
      </w:r>
      <w:r>
        <w:rPr>
          <w:b/>
          <w:bCs/>
          <w:sz w:val="24"/>
          <w:u w:val="single"/>
        </w:rPr>
        <w:t>22</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A30707">
        <w:rPr>
          <w:rFonts w:ascii="Arial" w:hAnsi="Arial" w:cs="Arial"/>
          <w:b/>
          <w:bCs/>
          <w:sz w:val="24"/>
          <w:u w:val="single"/>
        </w:rPr>
        <w:t>3</w:t>
      </w:r>
      <w:r w:rsidR="008F7BA5">
        <w:rPr>
          <w:rFonts w:ascii="Arial" w:hAnsi="Arial" w:cs="Arial"/>
          <w:b/>
          <w:bCs/>
          <w:sz w:val="24"/>
          <w:u w:val="single"/>
        </w:rPr>
        <w:t>8</w:t>
      </w:r>
      <w:r w:rsidRPr="008C527F">
        <w:rPr>
          <w:rFonts w:ascii="Arial" w:hAnsi="Arial" w:cs="Arial"/>
          <w:b/>
          <w:bCs/>
          <w:sz w:val="24"/>
          <w:u w:val="single"/>
        </w:rPr>
        <w:t>)</w:t>
      </w:r>
    </w:p>
    <w:p w:rsidR="00E67DB8" w:rsidRPr="00E67DB8" w:rsidRDefault="00E67DB8" w:rsidP="00E67DB8">
      <w:pPr>
        <w:spacing w:before="100" w:beforeAutospacing="1" w:after="100" w:afterAutospacing="1" w:line="240" w:lineRule="auto"/>
        <w:ind w:left="720" w:right="26" w:hanging="720"/>
        <w:jc w:val="both"/>
        <w:outlineLvl w:val="0"/>
        <w:rPr>
          <w:rFonts w:ascii="Arial" w:hAnsi="Arial" w:cs="Arial"/>
          <w:b/>
          <w:sz w:val="24"/>
          <w:szCs w:val="24"/>
          <w:u w:val="single"/>
        </w:rPr>
      </w:pPr>
      <w:r w:rsidRPr="00E67DB8">
        <w:rPr>
          <w:rFonts w:ascii="Arial" w:hAnsi="Arial" w:cs="Arial"/>
          <w:b/>
          <w:sz w:val="24"/>
          <w:szCs w:val="24"/>
          <w:u w:val="single"/>
        </w:rPr>
        <w:t xml:space="preserve">Prof C T </w:t>
      </w:r>
      <w:r w:rsidRPr="00E67DB8">
        <w:rPr>
          <w:rFonts w:ascii="Arial" w:hAnsi="Arial" w:cs="Arial"/>
          <w:b/>
          <w:sz w:val="24"/>
          <w:szCs w:val="24"/>
          <w:u w:val="single"/>
          <w:lang w:val="en-US"/>
        </w:rPr>
        <w:t>Msimang</w:t>
      </w:r>
      <w:r w:rsidRPr="00E67DB8">
        <w:rPr>
          <w:rFonts w:ascii="Arial" w:hAnsi="Arial" w:cs="Arial"/>
          <w:b/>
          <w:sz w:val="24"/>
          <w:szCs w:val="24"/>
          <w:u w:val="single"/>
        </w:rPr>
        <w:t xml:space="preserve"> (IFP) to ask the Minister of Health</w:t>
      </w:r>
      <w:r w:rsidR="00BE7145" w:rsidRPr="00E67DB8">
        <w:rPr>
          <w:rFonts w:ascii="Arial" w:hAnsi="Arial" w:cs="Arial"/>
          <w:b/>
          <w:sz w:val="24"/>
          <w:szCs w:val="24"/>
          <w:u w:val="single"/>
        </w:rPr>
        <w:fldChar w:fldCharType="begin"/>
      </w:r>
      <w:r w:rsidRPr="00E67DB8">
        <w:rPr>
          <w:rFonts w:ascii="Arial" w:hAnsi="Arial" w:cs="Arial"/>
          <w:u w:val="single"/>
        </w:rPr>
        <w:instrText xml:space="preserve"> XE "</w:instrText>
      </w:r>
      <w:r w:rsidRPr="00E67DB8">
        <w:rPr>
          <w:rFonts w:ascii="Arial" w:hAnsi="Arial" w:cs="Arial"/>
          <w:b/>
          <w:sz w:val="24"/>
          <w:szCs w:val="24"/>
          <w:u w:val="single"/>
        </w:rPr>
        <w:instrText>Minister of Health</w:instrText>
      </w:r>
      <w:r w:rsidRPr="00E67DB8">
        <w:rPr>
          <w:rFonts w:ascii="Arial" w:hAnsi="Arial" w:cs="Arial"/>
          <w:u w:val="single"/>
        </w:rPr>
        <w:instrText xml:space="preserve">" </w:instrText>
      </w:r>
      <w:r w:rsidR="00BE7145" w:rsidRPr="00E67DB8">
        <w:rPr>
          <w:rFonts w:ascii="Arial" w:hAnsi="Arial" w:cs="Arial"/>
          <w:b/>
          <w:sz w:val="24"/>
          <w:szCs w:val="24"/>
          <w:u w:val="single"/>
        </w:rPr>
        <w:fldChar w:fldCharType="end"/>
      </w:r>
      <w:r w:rsidRPr="00E67DB8">
        <w:rPr>
          <w:rFonts w:ascii="Arial" w:hAnsi="Arial" w:cs="Arial"/>
          <w:b/>
          <w:sz w:val="24"/>
          <w:szCs w:val="24"/>
          <w:u w:val="single"/>
        </w:rPr>
        <w:t>:</w:t>
      </w:r>
    </w:p>
    <w:p w:rsidR="00E67DB8" w:rsidRPr="00E67DB8" w:rsidRDefault="0B7FCA96" w:rsidP="0B7FCA96">
      <w:pPr>
        <w:spacing w:before="100" w:beforeAutospacing="1" w:after="100" w:afterAutospacing="1" w:line="240" w:lineRule="auto"/>
        <w:ind w:left="709" w:right="26" w:hanging="720"/>
        <w:outlineLvl w:val="0"/>
        <w:rPr>
          <w:rFonts w:ascii="Arial" w:hAnsi="Arial" w:cs="Arial"/>
          <w:color w:val="212121"/>
          <w:sz w:val="24"/>
          <w:szCs w:val="24"/>
        </w:rPr>
      </w:pPr>
      <w:r w:rsidRPr="0B7FCA96">
        <w:rPr>
          <w:rFonts w:ascii="Arial" w:hAnsi="Arial" w:cs="Arial"/>
          <w:color w:val="212121"/>
          <w:sz w:val="24"/>
          <w:szCs w:val="24"/>
        </w:rPr>
        <w:t>(1)</w:t>
      </w:r>
      <w:r w:rsidR="00E67DB8">
        <w:tab/>
      </w:r>
      <w:r w:rsidRPr="0B7FCA96">
        <w:rPr>
          <w:rFonts w:ascii="Arial" w:hAnsi="Arial" w:cs="Arial"/>
          <w:color w:val="212121"/>
          <w:sz w:val="24"/>
          <w:szCs w:val="24"/>
        </w:rPr>
        <w:t xml:space="preserve">Given that a recent survey indicated that as many as 40% of doctors want to emigrate and the placement of interns and community service doctors is a challenge </w:t>
      </w:r>
      <w:r w:rsidRPr="0B7FCA96">
        <w:rPr>
          <w:rFonts w:ascii="Arial" w:hAnsi="Arial" w:cs="Arial"/>
          <w:sz w:val="24"/>
          <w:szCs w:val="24"/>
        </w:rPr>
        <w:t>(details furnished), what are t</w:t>
      </w:r>
      <w:r w:rsidRPr="0B7FCA96">
        <w:rPr>
          <w:rFonts w:ascii="Arial" w:hAnsi="Arial" w:cs="Arial"/>
          <w:color w:val="212121"/>
          <w:sz w:val="24"/>
          <w:szCs w:val="24"/>
        </w:rPr>
        <w:t xml:space="preserve">he full, relevant details of how his department intends to </w:t>
      </w:r>
      <w:r w:rsidRPr="0B7FCA96">
        <w:rPr>
          <w:rFonts w:ascii="Arial" w:eastAsia="Times New Roman" w:hAnsi="Arial" w:cs="Arial"/>
          <w:sz w:val="24"/>
          <w:szCs w:val="24"/>
          <w:lang w:val="en-US"/>
        </w:rPr>
        <w:t>address</w:t>
      </w:r>
      <w:r w:rsidRPr="0B7FCA96">
        <w:rPr>
          <w:rFonts w:ascii="Arial" w:hAnsi="Arial" w:cs="Arial"/>
          <w:color w:val="212121"/>
          <w:sz w:val="24"/>
          <w:szCs w:val="24"/>
        </w:rPr>
        <w:t xml:space="preserve"> the specified challenges, particularly the limited resources and safety issues;</w:t>
      </w:r>
    </w:p>
    <w:p w:rsidR="00DA1577" w:rsidRPr="008F7BA5" w:rsidRDefault="00E67DB8" w:rsidP="00E67DB8">
      <w:pPr>
        <w:spacing w:before="100" w:beforeAutospacing="1" w:after="100" w:afterAutospacing="1" w:line="240" w:lineRule="auto"/>
        <w:ind w:left="709" w:right="26" w:hanging="720"/>
        <w:jc w:val="both"/>
        <w:outlineLvl w:val="0"/>
        <w:rPr>
          <w:rFonts w:ascii="Times New Roman" w:hAnsi="Times New Roman" w:cs="Times New Roman"/>
          <w:sz w:val="20"/>
          <w:szCs w:val="20"/>
        </w:rPr>
      </w:pPr>
      <w:r w:rsidRPr="00E67DB8">
        <w:rPr>
          <w:rFonts w:ascii="Arial" w:hAnsi="Arial" w:cs="Arial"/>
          <w:color w:val="212121"/>
          <w:sz w:val="24"/>
          <w:szCs w:val="24"/>
        </w:rPr>
        <w:t>(2)</w:t>
      </w:r>
      <w:r w:rsidRPr="00E67DB8">
        <w:rPr>
          <w:rFonts w:ascii="Arial" w:hAnsi="Arial" w:cs="Arial"/>
          <w:color w:val="212121"/>
          <w:sz w:val="24"/>
          <w:szCs w:val="24"/>
        </w:rPr>
        <w:tab/>
        <w:t xml:space="preserve">given that </w:t>
      </w:r>
      <w:r w:rsidRPr="00E67DB8">
        <w:rPr>
          <w:rFonts w:ascii="Arial" w:hAnsi="Arial" w:cs="Arial"/>
          <w:sz w:val="24"/>
          <w:szCs w:val="24"/>
        </w:rPr>
        <w:t>some</w:t>
      </w:r>
      <w:r w:rsidRPr="00E67DB8">
        <w:rPr>
          <w:rFonts w:ascii="Arial" w:hAnsi="Arial" w:cs="Arial"/>
          <w:color w:val="212121"/>
          <w:sz w:val="24"/>
          <w:szCs w:val="24"/>
        </w:rPr>
        <w:t xml:space="preserve"> of the </w:t>
      </w:r>
      <w:r w:rsidRPr="00E67DB8">
        <w:rPr>
          <w:rFonts w:ascii="Arial" w:eastAsia="Times New Roman" w:hAnsi="Arial" w:cs="Arial"/>
          <w:sz w:val="24"/>
          <w:szCs w:val="24"/>
          <w:lang w:val="en-US"/>
        </w:rPr>
        <w:t>challenges</w:t>
      </w:r>
      <w:r w:rsidRPr="00E67DB8">
        <w:rPr>
          <w:rFonts w:ascii="Arial" w:hAnsi="Arial" w:cs="Arial"/>
          <w:color w:val="212121"/>
          <w:sz w:val="24"/>
          <w:szCs w:val="24"/>
        </w:rPr>
        <w:t xml:space="preserve"> are recurring challenges, what plans are in place to address the recurring challenges with absolving new doctors?</w:t>
      </w:r>
      <w:r>
        <w:rPr>
          <w:rFonts w:ascii="Times New Roman" w:hAnsi="Times New Roman" w:cs="Times New Roman"/>
          <w:sz w:val="24"/>
          <w:szCs w:val="24"/>
        </w:rPr>
        <w:tab/>
      </w:r>
      <w:r>
        <w:rPr>
          <w:rFonts w:ascii="Times New Roman" w:hAnsi="Times New Roman" w:cs="Times New Roman"/>
          <w:sz w:val="24"/>
          <w:szCs w:val="24"/>
        </w:rPr>
        <w:tab/>
      </w:r>
      <w:r w:rsidR="00DA1577" w:rsidRPr="00DA1577">
        <w:rPr>
          <w:rFonts w:ascii="Arial" w:hAnsi="Arial" w:cs="Arial"/>
          <w:b/>
          <w:bCs/>
          <w:sz w:val="12"/>
          <w:szCs w:val="12"/>
        </w:rPr>
        <w:t>NW</w:t>
      </w:r>
      <w:r w:rsidR="00FB7649">
        <w:rPr>
          <w:rFonts w:ascii="Arial" w:hAnsi="Arial" w:cs="Arial"/>
          <w:b/>
          <w:bCs/>
          <w:sz w:val="12"/>
          <w:szCs w:val="12"/>
        </w:rPr>
        <w:t>4</w:t>
      </w:r>
      <w:r w:rsidR="005C5F0A">
        <w:rPr>
          <w:rFonts w:ascii="Arial" w:hAnsi="Arial" w:cs="Arial"/>
          <w:b/>
          <w:bCs/>
          <w:sz w:val="12"/>
          <w:szCs w:val="12"/>
        </w:rPr>
        <w:t>3</w:t>
      </w:r>
      <w:r>
        <w:rPr>
          <w:rFonts w:ascii="Arial" w:hAnsi="Arial" w:cs="Arial"/>
          <w:b/>
          <w:bCs/>
          <w:sz w:val="12"/>
          <w:szCs w:val="12"/>
        </w:rPr>
        <w:t>88</w:t>
      </w:r>
      <w:r w:rsidR="00DA1577" w:rsidRPr="00DA1577">
        <w:rPr>
          <w:rFonts w:ascii="Arial" w:hAnsi="Arial" w:cs="Arial"/>
          <w:b/>
          <w:bCs/>
          <w:sz w:val="12"/>
          <w:szCs w:val="12"/>
        </w:rPr>
        <w:t>E</w:t>
      </w:r>
    </w:p>
    <w:p w:rsidR="0010613B" w:rsidRPr="00B13266" w:rsidRDefault="0010613B" w:rsidP="0010613B">
      <w:pPr>
        <w:pStyle w:val="NormalWeb"/>
        <w:spacing w:before="0" w:beforeAutospacing="0" w:after="0" w:afterAutospacing="0"/>
        <w:rPr>
          <w:rFonts w:ascii="Arial" w:hAnsi="Arial" w:cs="Arial"/>
          <w:color w:val="000000"/>
        </w:rPr>
      </w:pPr>
    </w:p>
    <w:p w:rsidR="00B92BFD" w:rsidRDefault="00B92BFD" w:rsidP="007310ED">
      <w:pPr>
        <w:spacing w:line="240" w:lineRule="auto"/>
        <w:ind w:right="100"/>
        <w:jc w:val="both"/>
        <w:rPr>
          <w:rFonts w:ascii="Arial" w:hAnsi="Arial" w:cs="Arial"/>
          <w:b/>
          <w:bCs/>
          <w:color w:val="000000" w:themeColor="text1"/>
          <w:sz w:val="24"/>
          <w:szCs w:val="24"/>
          <w:u w:val="single"/>
        </w:rPr>
      </w:pPr>
      <w:r w:rsidRPr="00B92BFD">
        <w:rPr>
          <w:rFonts w:ascii="Arial" w:hAnsi="Arial" w:cs="Arial"/>
          <w:b/>
          <w:bCs/>
          <w:color w:val="000000" w:themeColor="text1"/>
          <w:sz w:val="24"/>
          <w:szCs w:val="24"/>
          <w:u w:val="single"/>
        </w:rPr>
        <w:t>REPLY:</w:t>
      </w:r>
    </w:p>
    <w:p w:rsidR="00960148" w:rsidRPr="00960148" w:rsidRDefault="00960148" w:rsidP="00960148">
      <w:pPr>
        <w:pStyle w:val="ListParagraph"/>
        <w:numPr>
          <w:ilvl w:val="0"/>
          <w:numId w:val="17"/>
        </w:numPr>
        <w:spacing w:after="240"/>
        <w:ind w:hanging="720"/>
        <w:mirrorIndents/>
        <w:jc w:val="both"/>
        <w:rPr>
          <w:rFonts w:ascii="Arial" w:eastAsia="Batang" w:hAnsi="Arial" w:cs="Arial"/>
          <w:b/>
          <w:caps/>
          <w:spacing w:val="20"/>
          <w:sz w:val="24"/>
          <w:szCs w:val="24"/>
        </w:rPr>
      </w:pPr>
      <w:r w:rsidRPr="00960148">
        <w:rPr>
          <w:rFonts w:ascii="Arial" w:hAnsi="Arial" w:cs="Arial"/>
          <w:sz w:val="24"/>
          <w:szCs w:val="24"/>
        </w:rPr>
        <w:t xml:space="preserve">The introduction of the Medical Internship and Community Service Programme, has ensured a transparent, fair, and equitable process of facilitating the distribution of human resources for health to rural and under serviced areas, thereby improving access to primary health care services. </w:t>
      </w:r>
    </w:p>
    <w:p w:rsidR="00960148" w:rsidRPr="00960148" w:rsidRDefault="00960148" w:rsidP="00960148">
      <w:pPr>
        <w:spacing w:after="240"/>
        <w:ind w:left="709"/>
        <w:mirrorIndents/>
        <w:jc w:val="both"/>
        <w:rPr>
          <w:rFonts w:ascii="Arial" w:hAnsi="Arial" w:cs="Arial"/>
          <w:sz w:val="24"/>
          <w:szCs w:val="24"/>
        </w:rPr>
      </w:pPr>
      <w:r w:rsidRPr="00960148">
        <w:rPr>
          <w:rFonts w:ascii="Arial" w:hAnsi="Arial" w:cs="Arial"/>
          <w:sz w:val="24"/>
          <w:szCs w:val="24"/>
        </w:rPr>
        <w:t>There are two allocation Cycles each year. Which is, the Annual cycle that allocates a sizeable number of applicants who are eligible by 30th of December to commence duty on 1 January of each year and the Midyear cycle that allocates applicants who could not take up positions in January allowing them to take up posts from July of that year.</w:t>
      </w:r>
    </w:p>
    <w:p w:rsidR="00960148" w:rsidRPr="00960148" w:rsidRDefault="00960148" w:rsidP="00084C2F">
      <w:pPr>
        <w:keepNext/>
        <w:keepLines/>
        <w:widowControl w:val="0"/>
        <w:autoSpaceDE w:val="0"/>
        <w:autoSpaceDN w:val="0"/>
        <w:spacing w:after="240"/>
        <w:ind w:left="709"/>
        <w:mirrorIndents/>
        <w:jc w:val="both"/>
        <w:rPr>
          <w:rFonts w:ascii="Arial" w:hAnsi="Arial" w:cs="Arial"/>
          <w:sz w:val="24"/>
          <w:szCs w:val="24"/>
        </w:rPr>
      </w:pPr>
      <w:r w:rsidRPr="00960148">
        <w:rPr>
          <w:rFonts w:ascii="Arial" w:hAnsi="Arial" w:cs="Arial"/>
          <w:sz w:val="24"/>
          <w:szCs w:val="24"/>
        </w:rPr>
        <w:t xml:space="preserve">The overwhelming demand of medical internship and community service positions since 2017, has put pressure on the public health sector Compensation of Employment (COE) under the stagnant equitable share budget. The matter was further aggravated by general budget cuts in the Public Service. As a result, CoE is negatively affected and Provinces were forced to freeze some of the posts including medical internship and community service posts. This further saw Provinces implementing stringent measures to control filling of positions including key line function posts to avoid over expenditure on CoE.  </w:t>
      </w:r>
    </w:p>
    <w:p w:rsidR="00084C2F" w:rsidRDefault="00084C2F" w:rsidP="00084C2F">
      <w:pPr>
        <w:keepNext/>
        <w:keepLines/>
        <w:widowControl w:val="0"/>
        <w:autoSpaceDE w:val="0"/>
        <w:autoSpaceDN w:val="0"/>
        <w:spacing w:after="240"/>
        <w:ind w:left="360" w:firstLine="349"/>
        <w:mirrorIndents/>
        <w:jc w:val="both"/>
        <w:rPr>
          <w:rFonts w:ascii="Arial" w:hAnsi="Arial" w:cs="Arial"/>
          <w:sz w:val="24"/>
          <w:szCs w:val="24"/>
        </w:rPr>
      </w:pPr>
    </w:p>
    <w:p w:rsidR="00084C2F" w:rsidRDefault="00084C2F" w:rsidP="00084C2F">
      <w:pPr>
        <w:keepNext/>
        <w:keepLines/>
        <w:widowControl w:val="0"/>
        <w:autoSpaceDE w:val="0"/>
        <w:autoSpaceDN w:val="0"/>
        <w:spacing w:after="240"/>
        <w:ind w:left="360" w:firstLine="349"/>
        <w:mirrorIndents/>
        <w:jc w:val="both"/>
        <w:rPr>
          <w:rFonts w:ascii="Arial" w:hAnsi="Arial" w:cs="Arial"/>
          <w:sz w:val="24"/>
          <w:szCs w:val="24"/>
        </w:rPr>
      </w:pPr>
    </w:p>
    <w:p w:rsidR="00960148" w:rsidRPr="00960148" w:rsidRDefault="00960148" w:rsidP="00084C2F">
      <w:pPr>
        <w:keepNext/>
        <w:keepLines/>
        <w:widowControl w:val="0"/>
        <w:autoSpaceDE w:val="0"/>
        <w:autoSpaceDN w:val="0"/>
        <w:spacing w:after="240"/>
        <w:ind w:left="360" w:firstLine="349"/>
        <w:mirrorIndents/>
        <w:jc w:val="both"/>
        <w:rPr>
          <w:rFonts w:ascii="Arial" w:eastAsia="Batang" w:hAnsi="Arial" w:cs="Arial"/>
          <w:b/>
          <w:caps/>
          <w:spacing w:val="20"/>
          <w:sz w:val="24"/>
          <w:szCs w:val="24"/>
        </w:rPr>
      </w:pPr>
      <w:r w:rsidRPr="00960148">
        <w:rPr>
          <w:rFonts w:ascii="Arial" w:hAnsi="Arial" w:cs="Arial"/>
          <w:sz w:val="24"/>
          <w:szCs w:val="24"/>
        </w:rPr>
        <w:t>The growth is outlined in the diagrams below-</w:t>
      </w:r>
    </w:p>
    <w:p w:rsidR="00084C2F" w:rsidRDefault="00084C2F" w:rsidP="00084C2F">
      <w:pPr>
        <w:ind w:firstLine="720"/>
        <w:rPr>
          <w:rFonts w:ascii="Arial" w:hAnsi="Arial" w:cs="Arial"/>
          <w:b/>
          <w:sz w:val="24"/>
          <w:szCs w:val="24"/>
        </w:rPr>
      </w:pPr>
    </w:p>
    <w:p w:rsidR="00084C2F" w:rsidRDefault="00084C2F" w:rsidP="00084C2F">
      <w:pPr>
        <w:ind w:firstLine="720"/>
        <w:rPr>
          <w:rFonts w:ascii="Arial" w:hAnsi="Arial" w:cs="Arial"/>
          <w:b/>
          <w:sz w:val="24"/>
          <w:szCs w:val="24"/>
        </w:rPr>
      </w:pPr>
    </w:p>
    <w:p w:rsidR="00084C2F" w:rsidRDefault="00084C2F" w:rsidP="00084C2F">
      <w:pPr>
        <w:ind w:firstLine="720"/>
        <w:rPr>
          <w:rFonts w:ascii="Arial" w:hAnsi="Arial" w:cs="Arial"/>
          <w:b/>
          <w:sz w:val="24"/>
          <w:szCs w:val="24"/>
        </w:rPr>
      </w:pPr>
    </w:p>
    <w:p w:rsidR="00960148" w:rsidRPr="00960148" w:rsidRDefault="00960148" w:rsidP="00084C2F">
      <w:pPr>
        <w:ind w:firstLine="720"/>
        <w:rPr>
          <w:rFonts w:ascii="Arial" w:hAnsi="Arial" w:cs="Arial"/>
          <w:b/>
          <w:sz w:val="24"/>
          <w:szCs w:val="24"/>
        </w:rPr>
      </w:pPr>
      <w:r w:rsidRPr="00960148">
        <w:rPr>
          <w:rFonts w:ascii="Arial" w:hAnsi="Arial" w:cs="Arial"/>
          <w:b/>
          <w:sz w:val="24"/>
          <w:szCs w:val="24"/>
        </w:rPr>
        <w:t>Demand growth-</w:t>
      </w:r>
      <w:r w:rsidRPr="00960148">
        <w:rPr>
          <w:rFonts w:ascii="Arial" w:hAnsi="Arial" w:cs="Arial"/>
          <w:sz w:val="24"/>
          <w:szCs w:val="24"/>
        </w:rPr>
        <w:tab/>
      </w:r>
    </w:p>
    <w:tbl>
      <w:tblPr>
        <w:tblW w:w="885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1282"/>
        <w:gridCol w:w="750"/>
        <w:gridCol w:w="750"/>
        <w:gridCol w:w="750"/>
        <w:gridCol w:w="750"/>
        <w:gridCol w:w="895"/>
        <w:gridCol w:w="1063"/>
      </w:tblGrid>
      <w:tr w:rsidR="00960148" w:rsidRPr="00084C2F" w:rsidTr="00084C2F">
        <w:trPr>
          <w:trHeight w:val="300"/>
        </w:trPr>
        <w:tc>
          <w:tcPr>
            <w:tcW w:w="2610" w:type="dxa"/>
            <w:shd w:val="clear" w:color="auto" w:fill="auto"/>
            <w:noWrap/>
            <w:vAlign w:val="bottom"/>
            <w:hideMark/>
          </w:tcPr>
          <w:p w:rsidR="00960148" w:rsidRPr="00084C2F" w:rsidRDefault="00960148" w:rsidP="007B37DE">
            <w:pPr>
              <w:rPr>
                <w:rFonts w:ascii="Arial" w:hAnsi="Arial" w:cs="Arial"/>
                <w:b/>
                <w:bCs/>
                <w:lang w:eastAsia="en-ZA"/>
              </w:rPr>
            </w:pPr>
          </w:p>
        </w:tc>
        <w:tc>
          <w:tcPr>
            <w:tcW w:w="1282" w:type="dxa"/>
            <w:shd w:val="clear" w:color="auto" w:fill="auto"/>
            <w:noWrap/>
            <w:vAlign w:val="bottom"/>
            <w:hideMark/>
          </w:tcPr>
          <w:p w:rsidR="00960148" w:rsidRPr="00084C2F" w:rsidRDefault="00960148" w:rsidP="007B37DE">
            <w:pPr>
              <w:jc w:val="right"/>
              <w:rPr>
                <w:rFonts w:ascii="Arial" w:hAnsi="Arial" w:cs="Arial"/>
                <w:b/>
                <w:bCs/>
                <w:lang w:eastAsia="en-ZA"/>
              </w:rPr>
            </w:pPr>
            <w:r w:rsidRPr="00084C2F">
              <w:rPr>
                <w:rFonts w:ascii="Arial" w:hAnsi="Arial" w:cs="Arial"/>
                <w:b/>
                <w:bCs/>
                <w:lang w:eastAsia="en-ZA"/>
              </w:rPr>
              <w:t>2016</w:t>
            </w:r>
          </w:p>
        </w:tc>
        <w:tc>
          <w:tcPr>
            <w:tcW w:w="750" w:type="dxa"/>
            <w:shd w:val="clear" w:color="auto" w:fill="auto"/>
            <w:noWrap/>
            <w:vAlign w:val="bottom"/>
            <w:hideMark/>
          </w:tcPr>
          <w:p w:rsidR="00960148" w:rsidRPr="00084C2F" w:rsidRDefault="00960148" w:rsidP="007B37DE">
            <w:pPr>
              <w:jc w:val="right"/>
              <w:rPr>
                <w:rFonts w:ascii="Arial" w:hAnsi="Arial" w:cs="Arial"/>
                <w:b/>
                <w:bCs/>
                <w:lang w:eastAsia="en-ZA"/>
              </w:rPr>
            </w:pPr>
            <w:r w:rsidRPr="00084C2F">
              <w:rPr>
                <w:rFonts w:ascii="Arial" w:hAnsi="Arial" w:cs="Arial"/>
                <w:b/>
                <w:bCs/>
                <w:lang w:eastAsia="en-ZA"/>
              </w:rPr>
              <w:t>2017</w:t>
            </w:r>
          </w:p>
        </w:tc>
        <w:tc>
          <w:tcPr>
            <w:tcW w:w="750" w:type="dxa"/>
            <w:shd w:val="clear" w:color="auto" w:fill="auto"/>
            <w:noWrap/>
            <w:vAlign w:val="bottom"/>
            <w:hideMark/>
          </w:tcPr>
          <w:p w:rsidR="00960148" w:rsidRPr="00084C2F" w:rsidRDefault="00960148" w:rsidP="007B37DE">
            <w:pPr>
              <w:jc w:val="right"/>
              <w:rPr>
                <w:rFonts w:ascii="Arial" w:hAnsi="Arial" w:cs="Arial"/>
                <w:b/>
                <w:bCs/>
                <w:lang w:eastAsia="en-ZA"/>
              </w:rPr>
            </w:pPr>
            <w:r w:rsidRPr="00084C2F">
              <w:rPr>
                <w:rFonts w:ascii="Arial" w:hAnsi="Arial" w:cs="Arial"/>
                <w:b/>
                <w:bCs/>
                <w:lang w:eastAsia="en-ZA"/>
              </w:rPr>
              <w:t>2018</w:t>
            </w:r>
          </w:p>
        </w:tc>
        <w:tc>
          <w:tcPr>
            <w:tcW w:w="750" w:type="dxa"/>
            <w:shd w:val="clear" w:color="auto" w:fill="auto"/>
            <w:noWrap/>
            <w:vAlign w:val="bottom"/>
            <w:hideMark/>
          </w:tcPr>
          <w:p w:rsidR="00960148" w:rsidRPr="00084C2F" w:rsidRDefault="00960148" w:rsidP="007B37DE">
            <w:pPr>
              <w:jc w:val="right"/>
              <w:rPr>
                <w:rFonts w:ascii="Arial" w:hAnsi="Arial" w:cs="Arial"/>
                <w:b/>
                <w:bCs/>
                <w:lang w:eastAsia="en-ZA"/>
              </w:rPr>
            </w:pPr>
            <w:r w:rsidRPr="00084C2F">
              <w:rPr>
                <w:rFonts w:ascii="Arial" w:hAnsi="Arial" w:cs="Arial"/>
                <w:b/>
                <w:bCs/>
                <w:lang w:eastAsia="en-ZA"/>
              </w:rPr>
              <w:t>2019</w:t>
            </w:r>
          </w:p>
        </w:tc>
        <w:tc>
          <w:tcPr>
            <w:tcW w:w="750" w:type="dxa"/>
            <w:shd w:val="clear" w:color="auto" w:fill="auto"/>
            <w:noWrap/>
            <w:vAlign w:val="bottom"/>
            <w:hideMark/>
          </w:tcPr>
          <w:p w:rsidR="00960148" w:rsidRPr="00084C2F" w:rsidRDefault="00960148" w:rsidP="007B37DE">
            <w:pPr>
              <w:jc w:val="right"/>
              <w:rPr>
                <w:rFonts w:ascii="Arial" w:hAnsi="Arial" w:cs="Arial"/>
                <w:b/>
                <w:bCs/>
                <w:lang w:eastAsia="en-ZA"/>
              </w:rPr>
            </w:pPr>
            <w:r w:rsidRPr="00084C2F">
              <w:rPr>
                <w:rFonts w:ascii="Arial" w:hAnsi="Arial" w:cs="Arial"/>
                <w:b/>
                <w:bCs/>
                <w:lang w:eastAsia="en-ZA"/>
              </w:rPr>
              <w:t>2020</w:t>
            </w:r>
          </w:p>
        </w:tc>
        <w:tc>
          <w:tcPr>
            <w:tcW w:w="895" w:type="dxa"/>
            <w:shd w:val="clear" w:color="auto" w:fill="auto"/>
            <w:noWrap/>
            <w:vAlign w:val="bottom"/>
            <w:hideMark/>
          </w:tcPr>
          <w:p w:rsidR="00960148" w:rsidRPr="00084C2F" w:rsidRDefault="00960148" w:rsidP="007B37DE">
            <w:pPr>
              <w:rPr>
                <w:rFonts w:ascii="Arial" w:hAnsi="Arial" w:cs="Arial"/>
                <w:b/>
                <w:bCs/>
                <w:lang w:eastAsia="en-ZA"/>
              </w:rPr>
            </w:pPr>
            <w:r w:rsidRPr="00084C2F">
              <w:rPr>
                <w:rFonts w:ascii="Arial" w:hAnsi="Arial" w:cs="Arial"/>
                <w:b/>
                <w:bCs/>
                <w:lang w:eastAsia="en-ZA"/>
              </w:rPr>
              <w:t>2021*</w:t>
            </w:r>
          </w:p>
        </w:tc>
        <w:tc>
          <w:tcPr>
            <w:tcW w:w="1063" w:type="dxa"/>
            <w:shd w:val="clear" w:color="auto" w:fill="auto"/>
            <w:noWrap/>
            <w:vAlign w:val="bottom"/>
            <w:hideMark/>
          </w:tcPr>
          <w:p w:rsidR="00960148" w:rsidRPr="00084C2F" w:rsidRDefault="00960148" w:rsidP="007B37DE">
            <w:pPr>
              <w:rPr>
                <w:rFonts w:ascii="Arial" w:hAnsi="Arial" w:cs="Arial"/>
                <w:b/>
                <w:bCs/>
                <w:lang w:eastAsia="en-ZA"/>
              </w:rPr>
            </w:pPr>
            <w:r w:rsidRPr="00084C2F">
              <w:rPr>
                <w:rFonts w:ascii="Arial" w:hAnsi="Arial" w:cs="Arial"/>
                <w:b/>
                <w:bCs/>
                <w:lang w:eastAsia="en-ZA"/>
              </w:rPr>
              <w:t>2022**</w:t>
            </w:r>
          </w:p>
        </w:tc>
      </w:tr>
      <w:tr w:rsidR="00960148" w:rsidRPr="00084C2F" w:rsidTr="00084C2F">
        <w:trPr>
          <w:trHeight w:val="300"/>
        </w:trPr>
        <w:tc>
          <w:tcPr>
            <w:tcW w:w="2610" w:type="dxa"/>
            <w:shd w:val="clear" w:color="auto" w:fill="auto"/>
            <w:noWrap/>
            <w:vAlign w:val="bottom"/>
            <w:hideMark/>
          </w:tcPr>
          <w:p w:rsidR="00960148" w:rsidRPr="00084C2F" w:rsidRDefault="00960148" w:rsidP="007B37DE">
            <w:pPr>
              <w:rPr>
                <w:rFonts w:ascii="Arial" w:hAnsi="Arial" w:cs="Arial"/>
                <w:lang w:eastAsia="en-ZA"/>
              </w:rPr>
            </w:pPr>
            <w:r w:rsidRPr="00084C2F">
              <w:rPr>
                <w:rFonts w:ascii="Arial" w:hAnsi="Arial" w:cs="Arial"/>
                <w:lang w:eastAsia="en-ZA"/>
              </w:rPr>
              <w:t>Medical Intern</w:t>
            </w:r>
          </w:p>
        </w:tc>
        <w:tc>
          <w:tcPr>
            <w:tcW w:w="1282" w:type="dxa"/>
            <w:shd w:val="clear" w:color="auto" w:fill="auto"/>
            <w:noWrap/>
            <w:vAlign w:val="bottom"/>
            <w:hideMark/>
          </w:tcPr>
          <w:p w:rsidR="00960148" w:rsidRPr="00084C2F" w:rsidRDefault="00960148" w:rsidP="007B37DE">
            <w:pPr>
              <w:jc w:val="right"/>
              <w:rPr>
                <w:rFonts w:ascii="Arial" w:hAnsi="Arial" w:cs="Arial"/>
                <w:lang w:eastAsia="en-ZA"/>
              </w:rPr>
            </w:pPr>
            <w:r w:rsidRPr="00084C2F">
              <w:rPr>
                <w:rFonts w:ascii="Arial" w:hAnsi="Arial" w:cs="Arial"/>
                <w:lang w:eastAsia="en-ZA"/>
              </w:rPr>
              <w:t>1500</w:t>
            </w:r>
          </w:p>
        </w:tc>
        <w:tc>
          <w:tcPr>
            <w:tcW w:w="750" w:type="dxa"/>
            <w:shd w:val="clear" w:color="auto" w:fill="auto"/>
            <w:noWrap/>
            <w:vAlign w:val="bottom"/>
            <w:hideMark/>
          </w:tcPr>
          <w:p w:rsidR="00960148" w:rsidRPr="00084C2F" w:rsidRDefault="00960148" w:rsidP="007B37DE">
            <w:pPr>
              <w:jc w:val="right"/>
              <w:rPr>
                <w:rFonts w:ascii="Arial" w:hAnsi="Arial" w:cs="Arial"/>
                <w:lang w:eastAsia="en-ZA"/>
              </w:rPr>
            </w:pPr>
            <w:r w:rsidRPr="00084C2F">
              <w:rPr>
                <w:rFonts w:ascii="Arial" w:hAnsi="Arial" w:cs="Arial"/>
                <w:lang w:eastAsia="en-ZA"/>
              </w:rPr>
              <w:t>1598</w:t>
            </w:r>
          </w:p>
        </w:tc>
        <w:tc>
          <w:tcPr>
            <w:tcW w:w="750" w:type="dxa"/>
            <w:shd w:val="clear" w:color="auto" w:fill="auto"/>
            <w:noWrap/>
            <w:vAlign w:val="bottom"/>
            <w:hideMark/>
          </w:tcPr>
          <w:p w:rsidR="00960148" w:rsidRPr="00084C2F" w:rsidRDefault="00960148" w:rsidP="007B37DE">
            <w:pPr>
              <w:jc w:val="right"/>
              <w:rPr>
                <w:rFonts w:ascii="Arial" w:hAnsi="Arial" w:cs="Arial"/>
                <w:lang w:eastAsia="en-ZA"/>
              </w:rPr>
            </w:pPr>
            <w:r w:rsidRPr="00084C2F">
              <w:rPr>
                <w:rFonts w:ascii="Arial" w:hAnsi="Arial" w:cs="Arial"/>
                <w:lang w:eastAsia="en-ZA"/>
              </w:rPr>
              <w:t>1595</w:t>
            </w:r>
          </w:p>
        </w:tc>
        <w:tc>
          <w:tcPr>
            <w:tcW w:w="750" w:type="dxa"/>
            <w:shd w:val="clear" w:color="auto" w:fill="auto"/>
            <w:noWrap/>
            <w:vAlign w:val="bottom"/>
            <w:hideMark/>
          </w:tcPr>
          <w:p w:rsidR="00960148" w:rsidRPr="00084C2F" w:rsidRDefault="00960148" w:rsidP="007B37DE">
            <w:pPr>
              <w:jc w:val="right"/>
              <w:rPr>
                <w:rFonts w:ascii="Arial" w:hAnsi="Arial" w:cs="Arial"/>
                <w:lang w:eastAsia="en-ZA"/>
              </w:rPr>
            </w:pPr>
            <w:r w:rsidRPr="00084C2F">
              <w:rPr>
                <w:rFonts w:ascii="Arial" w:hAnsi="Arial" w:cs="Arial"/>
                <w:lang w:eastAsia="en-ZA"/>
              </w:rPr>
              <w:t>1899</w:t>
            </w:r>
          </w:p>
        </w:tc>
        <w:tc>
          <w:tcPr>
            <w:tcW w:w="750" w:type="dxa"/>
            <w:shd w:val="clear" w:color="auto" w:fill="auto"/>
            <w:noWrap/>
            <w:vAlign w:val="bottom"/>
            <w:hideMark/>
          </w:tcPr>
          <w:p w:rsidR="00960148" w:rsidRPr="00084C2F" w:rsidRDefault="00960148" w:rsidP="007B37DE">
            <w:pPr>
              <w:jc w:val="right"/>
              <w:rPr>
                <w:rFonts w:ascii="Arial" w:hAnsi="Arial" w:cs="Arial"/>
                <w:lang w:eastAsia="en-ZA"/>
              </w:rPr>
            </w:pPr>
            <w:r w:rsidRPr="00084C2F">
              <w:rPr>
                <w:rFonts w:ascii="Arial" w:hAnsi="Arial" w:cs="Arial"/>
                <w:lang w:eastAsia="en-ZA"/>
              </w:rPr>
              <w:t>2369</w:t>
            </w:r>
          </w:p>
        </w:tc>
        <w:tc>
          <w:tcPr>
            <w:tcW w:w="895" w:type="dxa"/>
            <w:shd w:val="clear" w:color="auto" w:fill="auto"/>
            <w:noWrap/>
            <w:vAlign w:val="bottom"/>
            <w:hideMark/>
          </w:tcPr>
          <w:p w:rsidR="00960148" w:rsidRPr="00084C2F" w:rsidRDefault="00960148" w:rsidP="007B37DE">
            <w:pPr>
              <w:jc w:val="right"/>
              <w:rPr>
                <w:rFonts w:ascii="Arial" w:hAnsi="Arial" w:cs="Arial"/>
                <w:lang w:eastAsia="en-ZA"/>
              </w:rPr>
            </w:pPr>
            <w:r w:rsidRPr="00084C2F">
              <w:rPr>
                <w:rFonts w:ascii="Arial" w:hAnsi="Arial" w:cs="Arial"/>
                <w:lang w:eastAsia="en-ZA"/>
              </w:rPr>
              <w:t>2594</w:t>
            </w:r>
          </w:p>
        </w:tc>
        <w:tc>
          <w:tcPr>
            <w:tcW w:w="1063" w:type="dxa"/>
            <w:shd w:val="clear" w:color="auto" w:fill="auto"/>
            <w:noWrap/>
            <w:vAlign w:val="bottom"/>
            <w:hideMark/>
          </w:tcPr>
          <w:p w:rsidR="00960148" w:rsidRPr="00084C2F" w:rsidRDefault="00960148" w:rsidP="007B37DE">
            <w:pPr>
              <w:jc w:val="right"/>
              <w:rPr>
                <w:rFonts w:ascii="Arial" w:hAnsi="Arial" w:cs="Arial"/>
                <w:lang w:eastAsia="en-ZA"/>
              </w:rPr>
            </w:pPr>
            <w:r w:rsidRPr="00084C2F">
              <w:rPr>
                <w:rFonts w:ascii="Arial" w:hAnsi="Arial" w:cs="Arial"/>
                <w:lang w:eastAsia="en-ZA"/>
              </w:rPr>
              <w:t>2625</w:t>
            </w:r>
          </w:p>
        </w:tc>
      </w:tr>
      <w:tr w:rsidR="00960148" w:rsidRPr="00084C2F" w:rsidTr="00084C2F">
        <w:trPr>
          <w:trHeight w:val="300"/>
        </w:trPr>
        <w:tc>
          <w:tcPr>
            <w:tcW w:w="2610" w:type="dxa"/>
            <w:shd w:val="clear" w:color="auto" w:fill="auto"/>
            <w:noWrap/>
            <w:vAlign w:val="bottom"/>
            <w:hideMark/>
          </w:tcPr>
          <w:p w:rsidR="00960148" w:rsidRPr="00084C2F" w:rsidRDefault="00960148" w:rsidP="007B37DE">
            <w:pPr>
              <w:rPr>
                <w:rFonts w:ascii="Arial" w:hAnsi="Arial" w:cs="Arial"/>
                <w:lang w:eastAsia="en-ZA"/>
              </w:rPr>
            </w:pPr>
            <w:r w:rsidRPr="00084C2F">
              <w:rPr>
                <w:rFonts w:ascii="Arial" w:hAnsi="Arial" w:cs="Arial"/>
                <w:lang w:eastAsia="en-ZA"/>
              </w:rPr>
              <w:t>% Change (Cumulative)***</w:t>
            </w:r>
          </w:p>
        </w:tc>
        <w:tc>
          <w:tcPr>
            <w:tcW w:w="1282" w:type="dxa"/>
            <w:shd w:val="clear" w:color="auto" w:fill="auto"/>
            <w:noWrap/>
            <w:vAlign w:val="bottom"/>
            <w:hideMark/>
          </w:tcPr>
          <w:p w:rsidR="00960148" w:rsidRPr="00084C2F" w:rsidRDefault="00960148" w:rsidP="007B37DE">
            <w:pPr>
              <w:jc w:val="right"/>
              <w:rPr>
                <w:rFonts w:ascii="Arial" w:hAnsi="Arial" w:cs="Arial"/>
                <w:lang w:eastAsia="en-ZA"/>
              </w:rPr>
            </w:pPr>
            <w:r w:rsidRPr="00084C2F">
              <w:rPr>
                <w:rFonts w:ascii="Arial" w:hAnsi="Arial" w:cs="Arial"/>
                <w:lang w:eastAsia="en-ZA"/>
              </w:rPr>
              <w:t>0%</w:t>
            </w:r>
          </w:p>
        </w:tc>
        <w:tc>
          <w:tcPr>
            <w:tcW w:w="750" w:type="dxa"/>
            <w:shd w:val="clear" w:color="auto" w:fill="auto"/>
            <w:noWrap/>
            <w:vAlign w:val="bottom"/>
            <w:hideMark/>
          </w:tcPr>
          <w:p w:rsidR="00960148" w:rsidRPr="00084C2F" w:rsidRDefault="00960148" w:rsidP="007B37DE">
            <w:pPr>
              <w:jc w:val="right"/>
              <w:rPr>
                <w:rFonts w:ascii="Arial" w:hAnsi="Arial" w:cs="Arial"/>
                <w:lang w:eastAsia="en-ZA"/>
              </w:rPr>
            </w:pPr>
            <w:r w:rsidRPr="00084C2F">
              <w:rPr>
                <w:rFonts w:ascii="Arial" w:hAnsi="Arial" w:cs="Arial"/>
                <w:lang w:eastAsia="en-ZA"/>
              </w:rPr>
              <w:t>7%</w:t>
            </w:r>
          </w:p>
        </w:tc>
        <w:tc>
          <w:tcPr>
            <w:tcW w:w="750" w:type="dxa"/>
            <w:shd w:val="clear" w:color="auto" w:fill="auto"/>
            <w:noWrap/>
            <w:vAlign w:val="bottom"/>
            <w:hideMark/>
          </w:tcPr>
          <w:p w:rsidR="00960148" w:rsidRPr="00084C2F" w:rsidRDefault="00960148" w:rsidP="007B37DE">
            <w:pPr>
              <w:jc w:val="right"/>
              <w:rPr>
                <w:rFonts w:ascii="Arial" w:hAnsi="Arial" w:cs="Arial"/>
                <w:lang w:eastAsia="en-ZA"/>
              </w:rPr>
            </w:pPr>
            <w:r w:rsidRPr="00084C2F">
              <w:rPr>
                <w:rFonts w:ascii="Arial" w:hAnsi="Arial" w:cs="Arial"/>
                <w:lang w:eastAsia="en-ZA"/>
              </w:rPr>
              <w:t>6%</w:t>
            </w:r>
          </w:p>
        </w:tc>
        <w:tc>
          <w:tcPr>
            <w:tcW w:w="750" w:type="dxa"/>
            <w:shd w:val="clear" w:color="auto" w:fill="auto"/>
            <w:noWrap/>
            <w:vAlign w:val="bottom"/>
            <w:hideMark/>
          </w:tcPr>
          <w:p w:rsidR="00960148" w:rsidRPr="00084C2F" w:rsidRDefault="00960148" w:rsidP="007B37DE">
            <w:pPr>
              <w:jc w:val="right"/>
              <w:rPr>
                <w:rFonts w:ascii="Arial" w:hAnsi="Arial" w:cs="Arial"/>
                <w:lang w:eastAsia="en-ZA"/>
              </w:rPr>
            </w:pPr>
            <w:r w:rsidRPr="00084C2F">
              <w:rPr>
                <w:rFonts w:ascii="Arial" w:hAnsi="Arial" w:cs="Arial"/>
                <w:lang w:eastAsia="en-ZA"/>
              </w:rPr>
              <w:t>27%</w:t>
            </w:r>
          </w:p>
        </w:tc>
        <w:tc>
          <w:tcPr>
            <w:tcW w:w="750" w:type="dxa"/>
            <w:shd w:val="clear" w:color="auto" w:fill="auto"/>
            <w:noWrap/>
            <w:vAlign w:val="bottom"/>
            <w:hideMark/>
          </w:tcPr>
          <w:p w:rsidR="00960148" w:rsidRPr="00084C2F" w:rsidRDefault="00960148" w:rsidP="007B37DE">
            <w:pPr>
              <w:jc w:val="right"/>
              <w:rPr>
                <w:rFonts w:ascii="Arial" w:hAnsi="Arial" w:cs="Arial"/>
                <w:lang w:eastAsia="en-ZA"/>
              </w:rPr>
            </w:pPr>
            <w:r w:rsidRPr="00084C2F">
              <w:rPr>
                <w:rFonts w:ascii="Arial" w:hAnsi="Arial" w:cs="Arial"/>
                <w:lang w:eastAsia="en-ZA"/>
              </w:rPr>
              <w:t>58%</w:t>
            </w:r>
          </w:p>
        </w:tc>
        <w:tc>
          <w:tcPr>
            <w:tcW w:w="895" w:type="dxa"/>
            <w:shd w:val="clear" w:color="auto" w:fill="auto"/>
            <w:noWrap/>
            <w:vAlign w:val="bottom"/>
            <w:hideMark/>
          </w:tcPr>
          <w:p w:rsidR="00960148" w:rsidRPr="00084C2F" w:rsidRDefault="00960148" w:rsidP="007B37DE">
            <w:pPr>
              <w:jc w:val="right"/>
              <w:rPr>
                <w:rFonts w:ascii="Arial" w:hAnsi="Arial" w:cs="Arial"/>
                <w:lang w:eastAsia="en-ZA"/>
              </w:rPr>
            </w:pPr>
            <w:r w:rsidRPr="00084C2F">
              <w:rPr>
                <w:rFonts w:ascii="Arial" w:hAnsi="Arial" w:cs="Arial"/>
                <w:lang w:eastAsia="en-ZA"/>
              </w:rPr>
              <w:t>73%</w:t>
            </w:r>
          </w:p>
        </w:tc>
        <w:tc>
          <w:tcPr>
            <w:tcW w:w="1063" w:type="dxa"/>
            <w:shd w:val="clear" w:color="auto" w:fill="auto"/>
            <w:noWrap/>
            <w:vAlign w:val="bottom"/>
            <w:hideMark/>
          </w:tcPr>
          <w:p w:rsidR="00960148" w:rsidRPr="00084C2F" w:rsidRDefault="00960148" w:rsidP="007B37DE">
            <w:pPr>
              <w:jc w:val="right"/>
              <w:rPr>
                <w:rFonts w:ascii="Arial" w:hAnsi="Arial" w:cs="Arial"/>
                <w:lang w:eastAsia="en-ZA"/>
              </w:rPr>
            </w:pPr>
            <w:r w:rsidRPr="00084C2F">
              <w:rPr>
                <w:rFonts w:ascii="Arial" w:hAnsi="Arial" w:cs="Arial"/>
                <w:lang w:eastAsia="en-ZA"/>
              </w:rPr>
              <w:t>75%</w:t>
            </w:r>
          </w:p>
        </w:tc>
      </w:tr>
      <w:tr w:rsidR="00960148" w:rsidRPr="00084C2F" w:rsidTr="00084C2F">
        <w:trPr>
          <w:trHeight w:val="300"/>
        </w:trPr>
        <w:tc>
          <w:tcPr>
            <w:tcW w:w="2610" w:type="dxa"/>
            <w:shd w:val="clear" w:color="auto" w:fill="auto"/>
            <w:noWrap/>
            <w:vAlign w:val="bottom"/>
            <w:hideMark/>
          </w:tcPr>
          <w:p w:rsidR="00960148" w:rsidRPr="00084C2F" w:rsidRDefault="00960148" w:rsidP="007B37DE">
            <w:pPr>
              <w:rPr>
                <w:rFonts w:ascii="Arial" w:hAnsi="Arial" w:cs="Arial"/>
                <w:lang w:eastAsia="en-ZA"/>
              </w:rPr>
            </w:pPr>
            <w:r w:rsidRPr="00084C2F">
              <w:rPr>
                <w:rFonts w:ascii="Arial" w:hAnsi="Arial" w:cs="Arial"/>
                <w:lang w:eastAsia="en-ZA"/>
              </w:rPr>
              <w:t>Medical Comm-Serv</w:t>
            </w:r>
          </w:p>
        </w:tc>
        <w:tc>
          <w:tcPr>
            <w:tcW w:w="1282" w:type="dxa"/>
            <w:shd w:val="clear" w:color="auto" w:fill="auto"/>
            <w:noWrap/>
            <w:vAlign w:val="bottom"/>
            <w:hideMark/>
          </w:tcPr>
          <w:p w:rsidR="00960148" w:rsidRPr="00084C2F" w:rsidRDefault="00960148" w:rsidP="007B37DE">
            <w:pPr>
              <w:jc w:val="right"/>
              <w:rPr>
                <w:rFonts w:ascii="Arial" w:hAnsi="Arial" w:cs="Arial"/>
                <w:lang w:eastAsia="en-ZA"/>
              </w:rPr>
            </w:pPr>
            <w:r w:rsidRPr="00084C2F">
              <w:rPr>
                <w:rFonts w:ascii="Arial" w:hAnsi="Arial" w:cs="Arial"/>
                <w:lang w:eastAsia="en-ZA"/>
              </w:rPr>
              <w:t>1322</w:t>
            </w:r>
          </w:p>
        </w:tc>
        <w:tc>
          <w:tcPr>
            <w:tcW w:w="750" w:type="dxa"/>
            <w:shd w:val="clear" w:color="auto" w:fill="auto"/>
            <w:noWrap/>
            <w:vAlign w:val="bottom"/>
            <w:hideMark/>
          </w:tcPr>
          <w:p w:rsidR="00960148" w:rsidRPr="00084C2F" w:rsidRDefault="00960148" w:rsidP="007B37DE">
            <w:pPr>
              <w:jc w:val="right"/>
              <w:rPr>
                <w:rFonts w:ascii="Arial" w:hAnsi="Arial" w:cs="Arial"/>
                <w:lang w:eastAsia="en-ZA"/>
              </w:rPr>
            </w:pPr>
            <w:r w:rsidRPr="00084C2F">
              <w:rPr>
                <w:rFonts w:ascii="Arial" w:hAnsi="Arial" w:cs="Arial"/>
                <w:lang w:eastAsia="en-ZA"/>
              </w:rPr>
              <w:t>1218</w:t>
            </w:r>
          </w:p>
        </w:tc>
        <w:tc>
          <w:tcPr>
            <w:tcW w:w="750" w:type="dxa"/>
            <w:shd w:val="clear" w:color="auto" w:fill="auto"/>
            <w:noWrap/>
            <w:vAlign w:val="bottom"/>
            <w:hideMark/>
          </w:tcPr>
          <w:p w:rsidR="00960148" w:rsidRPr="00084C2F" w:rsidRDefault="00960148" w:rsidP="007B37DE">
            <w:pPr>
              <w:jc w:val="right"/>
              <w:rPr>
                <w:rFonts w:ascii="Arial" w:hAnsi="Arial" w:cs="Arial"/>
                <w:lang w:eastAsia="en-ZA"/>
              </w:rPr>
            </w:pPr>
            <w:r w:rsidRPr="00084C2F">
              <w:rPr>
                <w:rFonts w:ascii="Arial" w:hAnsi="Arial" w:cs="Arial"/>
                <w:lang w:eastAsia="en-ZA"/>
              </w:rPr>
              <w:t>1348</w:t>
            </w:r>
          </w:p>
        </w:tc>
        <w:tc>
          <w:tcPr>
            <w:tcW w:w="750" w:type="dxa"/>
            <w:shd w:val="clear" w:color="auto" w:fill="auto"/>
            <w:noWrap/>
            <w:vAlign w:val="bottom"/>
            <w:hideMark/>
          </w:tcPr>
          <w:p w:rsidR="00960148" w:rsidRPr="00084C2F" w:rsidRDefault="00960148" w:rsidP="007B37DE">
            <w:pPr>
              <w:jc w:val="right"/>
              <w:rPr>
                <w:rFonts w:ascii="Arial" w:hAnsi="Arial" w:cs="Arial"/>
                <w:lang w:eastAsia="en-ZA"/>
              </w:rPr>
            </w:pPr>
            <w:r w:rsidRPr="00084C2F">
              <w:rPr>
                <w:rFonts w:ascii="Arial" w:hAnsi="Arial" w:cs="Arial"/>
                <w:lang w:eastAsia="en-ZA"/>
              </w:rPr>
              <w:t>1406</w:t>
            </w:r>
          </w:p>
        </w:tc>
        <w:tc>
          <w:tcPr>
            <w:tcW w:w="750" w:type="dxa"/>
            <w:shd w:val="clear" w:color="auto" w:fill="auto"/>
            <w:noWrap/>
            <w:vAlign w:val="bottom"/>
            <w:hideMark/>
          </w:tcPr>
          <w:p w:rsidR="00960148" w:rsidRPr="00084C2F" w:rsidRDefault="00960148" w:rsidP="007B37DE">
            <w:pPr>
              <w:jc w:val="right"/>
              <w:rPr>
                <w:rFonts w:ascii="Arial" w:hAnsi="Arial" w:cs="Arial"/>
                <w:lang w:eastAsia="en-ZA"/>
              </w:rPr>
            </w:pPr>
            <w:r w:rsidRPr="00084C2F">
              <w:rPr>
                <w:rFonts w:ascii="Arial" w:hAnsi="Arial" w:cs="Arial"/>
                <w:lang w:eastAsia="en-ZA"/>
              </w:rPr>
              <w:t>1505</w:t>
            </w:r>
          </w:p>
        </w:tc>
        <w:tc>
          <w:tcPr>
            <w:tcW w:w="895" w:type="dxa"/>
            <w:shd w:val="clear" w:color="auto" w:fill="auto"/>
            <w:noWrap/>
            <w:vAlign w:val="bottom"/>
            <w:hideMark/>
          </w:tcPr>
          <w:p w:rsidR="00960148" w:rsidRPr="00084C2F" w:rsidRDefault="00960148" w:rsidP="007B37DE">
            <w:pPr>
              <w:jc w:val="right"/>
              <w:rPr>
                <w:rFonts w:ascii="Arial" w:hAnsi="Arial" w:cs="Arial"/>
                <w:lang w:eastAsia="en-ZA"/>
              </w:rPr>
            </w:pPr>
            <w:r w:rsidRPr="00084C2F">
              <w:rPr>
                <w:rFonts w:ascii="Arial" w:hAnsi="Arial" w:cs="Arial"/>
                <w:lang w:eastAsia="en-ZA"/>
              </w:rPr>
              <w:t>1775</w:t>
            </w:r>
          </w:p>
        </w:tc>
        <w:tc>
          <w:tcPr>
            <w:tcW w:w="1063" w:type="dxa"/>
            <w:shd w:val="clear" w:color="auto" w:fill="auto"/>
            <w:noWrap/>
            <w:vAlign w:val="bottom"/>
            <w:hideMark/>
          </w:tcPr>
          <w:p w:rsidR="00960148" w:rsidRPr="00084C2F" w:rsidRDefault="00960148" w:rsidP="007B37DE">
            <w:pPr>
              <w:jc w:val="right"/>
              <w:rPr>
                <w:rFonts w:ascii="Arial" w:hAnsi="Arial" w:cs="Arial"/>
                <w:lang w:eastAsia="en-ZA"/>
              </w:rPr>
            </w:pPr>
            <w:r w:rsidRPr="00084C2F">
              <w:rPr>
                <w:rFonts w:ascii="Arial" w:hAnsi="Arial" w:cs="Arial"/>
                <w:lang w:eastAsia="en-ZA"/>
              </w:rPr>
              <w:t>2369</w:t>
            </w:r>
          </w:p>
        </w:tc>
      </w:tr>
      <w:tr w:rsidR="00960148" w:rsidRPr="00084C2F" w:rsidTr="00084C2F">
        <w:trPr>
          <w:trHeight w:val="315"/>
        </w:trPr>
        <w:tc>
          <w:tcPr>
            <w:tcW w:w="2610" w:type="dxa"/>
            <w:shd w:val="clear" w:color="auto" w:fill="auto"/>
            <w:noWrap/>
            <w:vAlign w:val="bottom"/>
            <w:hideMark/>
          </w:tcPr>
          <w:p w:rsidR="00960148" w:rsidRPr="00084C2F" w:rsidRDefault="00960148" w:rsidP="007B37DE">
            <w:pPr>
              <w:rPr>
                <w:rFonts w:ascii="Arial" w:hAnsi="Arial" w:cs="Arial"/>
                <w:lang w:eastAsia="en-ZA"/>
              </w:rPr>
            </w:pPr>
            <w:r w:rsidRPr="00084C2F">
              <w:rPr>
                <w:rFonts w:ascii="Arial" w:hAnsi="Arial" w:cs="Arial"/>
                <w:lang w:eastAsia="en-ZA"/>
              </w:rPr>
              <w:t>% Change (Cumulative)***</w:t>
            </w:r>
          </w:p>
        </w:tc>
        <w:tc>
          <w:tcPr>
            <w:tcW w:w="1282" w:type="dxa"/>
            <w:shd w:val="clear" w:color="auto" w:fill="auto"/>
            <w:noWrap/>
            <w:vAlign w:val="bottom"/>
            <w:hideMark/>
          </w:tcPr>
          <w:p w:rsidR="00960148" w:rsidRPr="00084C2F" w:rsidRDefault="00960148" w:rsidP="007B37DE">
            <w:pPr>
              <w:jc w:val="right"/>
              <w:rPr>
                <w:rFonts w:ascii="Arial" w:hAnsi="Arial" w:cs="Arial"/>
                <w:lang w:eastAsia="en-ZA"/>
              </w:rPr>
            </w:pPr>
            <w:r w:rsidRPr="00084C2F">
              <w:rPr>
                <w:rFonts w:ascii="Arial" w:hAnsi="Arial" w:cs="Arial"/>
                <w:lang w:eastAsia="en-ZA"/>
              </w:rPr>
              <w:t>0%</w:t>
            </w:r>
          </w:p>
        </w:tc>
        <w:tc>
          <w:tcPr>
            <w:tcW w:w="750" w:type="dxa"/>
            <w:shd w:val="clear" w:color="auto" w:fill="auto"/>
            <w:noWrap/>
            <w:vAlign w:val="bottom"/>
            <w:hideMark/>
          </w:tcPr>
          <w:p w:rsidR="00960148" w:rsidRPr="00084C2F" w:rsidRDefault="00960148" w:rsidP="007B37DE">
            <w:pPr>
              <w:jc w:val="right"/>
              <w:rPr>
                <w:rFonts w:ascii="Arial" w:hAnsi="Arial" w:cs="Arial"/>
                <w:lang w:eastAsia="en-ZA"/>
              </w:rPr>
            </w:pPr>
            <w:r w:rsidRPr="00084C2F">
              <w:rPr>
                <w:rFonts w:ascii="Arial" w:hAnsi="Arial" w:cs="Arial"/>
                <w:lang w:eastAsia="en-ZA"/>
              </w:rPr>
              <w:t>-8%</w:t>
            </w:r>
          </w:p>
        </w:tc>
        <w:tc>
          <w:tcPr>
            <w:tcW w:w="750" w:type="dxa"/>
            <w:shd w:val="clear" w:color="auto" w:fill="auto"/>
            <w:noWrap/>
            <w:vAlign w:val="bottom"/>
            <w:hideMark/>
          </w:tcPr>
          <w:p w:rsidR="00960148" w:rsidRPr="00084C2F" w:rsidRDefault="00960148" w:rsidP="007B37DE">
            <w:pPr>
              <w:jc w:val="right"/>
              <w:rPr>
                <w:rFonts w:ascii="Arial" w:hAnsi="Arial" w:cs="Arial"/>
                <w:lang w:eastAsia="en-ZA"/>
              </w:rPr>
            </w:pPr>
            <w:r w:rsidRPr="00084C2F">
              <w:rPr>
                <w:rFonts w:ascii="Arial" w:hAnsi="Arial" w:cs="Arial"/>
                <w:lang w:eastAsia="en-ZA"/>
              </w:rPr>
              <w:t>2%</w:t>
            </w:r>
          </w:p>
        </w:tc>
        <w:tc>
          <w:tcPr>
            <w:tcW w:w="750" w:type="dxa"/>
            <w:shd w:val="clear" w:color="auto" w:fill="auto"/>
            <w:noWrap/>
            <w:vAlign w:val="bottom"/>
            <w:hideMark/>
          </w:tcPr>
          <w:p w:rsidR="00960148" w:rsidRPr="00084C2F" w:rsidRDefault="00960148" w:rsidP="007B37DE">
            <w:pPr>
              <w:jc w:val="right"/>
              <w:rPr>
                <w:rFonts w:ascii="Arial" w:hAnsi="Arial" w:cs="Arial"/>
                <w:lang w:eastAsia="en-ZA"/>
              </w:rPr>
            </w:pPr>
            <w:r w:rsidRPr="00084C2F">
              <w:rPr>
                <w:rFonts w:ascii="Arial" w:hAnsi="Arial" w:cs="Arial"/>
                <w:lang w:eastAsia="en-ZA"/>
              </w:rPr>
              <w:t>6%</w:t>
            </w:r>
          </w:p>
        </w:tc>
        <w:tc>
          <w:tcPr>
            <w:tcW w:w="750" w:type="dxa"/>
            <w:shd w:val="clear" w:color="auto" w:fill="auto"/>
            <w:noWrap/>
            <w:vAlign w:val="bottom"/>
            <w:hideMark/>
          </w:tcPr>
          <w:p w:rsidR="00960148" w:rsidRPr="00084C2F" w:rsidRDefault="00960148" w:rsidP="007B37DE">
            <w:pPr>
              <w:jc w:val="right"/>
              <w:rPr>
                <w:rFonts w:ascii="Arial" w:hAnsi="Arial" w:cs="Arial"/>
                <w:lang w:eastAsia="en-ZA"/>
              </w:rPr>
            </w:pPr>
            <w:r w:rsidRPr="00084C2F">
              <w:rPr>
                <w:rFonts w:ascii="Arial" w:hAnsi="Arial" w:cs="Arial"/>
                <w:lang w:eastAsia="en-ZA"/>
              </w:rPr>
              <w:t>14%</w:t>
            </w:r>
          </w:p>
        </w:tc>
        <w:tc>
          <w:tcPr>
            <w:tcW w:w="895" w:type="dxa"/>
            <w:shd w:val="clear" w:color="auto" w:fill="auto"/>
            <w:noWrap/>
            <w:vAlign w:val="bottom"/>
            <w:hideMark/>
          </w:tcPr>
          <w:p w:rsidR="00960148" w:rsidRPr="00084C2F" w:rsidRDefault="00960148" w:rsidP="007B37DE">
            <w:pPr>
              <w:jc w:val="right"/>
              <w:rPr>
                <w:rFonts w:ascii="Arial" w:hAnsi="Arial" w:cs="Arial"/>
                <w:lang w:eastAsia="en-ZA"/>
              </w:rPr>
            </w:pPr>
            <w:r w:rsidRPr="00084C2F">
              <w:rPr>
                <w:rFonts w:ascii="Arial" w:hAnsi="Arial" w:cs="Arial"/>
                <w:lang w:eastAsia="en-ZA"/>
              </w:rPr>
              <w:t>34%</w:t>
            </w:r>
          </w:p>
        </w:tc>
        <w:tc>
          <w:tcPr>
            <w:tcW w:w="1063" w:type="dxa"/>
            <w:shd w:val="clear" w:color="auto" w:fill="auto"/>
            <w:noWrap/>
            <w:vAlign w:val="bottom"/>
            <w:hideMark/>
          </w:tcPr>
          <w:p w:rsidR="00960148" w:rsidRPr="00084C2F" w:rsidRDefault="00960148" w:rsidP="007B37DE">
            <w:pPr>
              <w:jc w:val="right"/>
              <w:rPr>
                <w:rFonts w:ascii="Arial" w:hAnsi="Arial" w:cs="Arial"/>
                <w:lang w:eastAsia="en-ZA"/>
              </w:rPr>
            </w:pPr>
            <w:r w:rsidRPr="00084C2F">
              <w:rPr>
                <w:rFonts w:ascii="Arial" w:hAnsi="Arial" w:cs="Arial"/>
                <w:lang w:eastAsia="en-ZA"/>
              </w:rPr>
              <w:t>79%</w:t>
            </w:r>
          </w:p>
        </w:tc>
      </w:tr>
    </w:tbl>
    <w:p w:rsidR="00960148" w:rsidRPr="00960148" w:rsidRDefault="00960148" w:rsidP="00960148">
      <w:pPr>
        <w:rPr>
          <w:rFonts w:ascii="Arial" w:hAnsi="Arial" w:cs="Arial"/>
          <w:b/>
          <w:sz w:val="24"/>
          <w:szCs w:val="24"/>
        </w:rPr>
      </w:pPr>
      <w:r w:rsidRPr="00960148">
        <w:rPr>
          <w:rFonts w:ascii="Arial" w:hAnsi="Arial" w:cs="Arial"/>
          <w:b/>
          <w:sz w:val="24"/>
          <w:szCs w:val="24"/>
        </w:rPr>
        <w:tab/>
      </w:r>
    </w:p>
    <w:p w:rsidR="00960148" w:rsidRPr="00821D1A" w:rsidRDefault="00960148" w:rsidP="00084C2F">
      <w:pPr>
        <w:ind w:left="1170" w:hanging="294"/>
        <w:rPr>
          <w:rFonts w:ascii="Arial" w:hAnsi="Arial" w:cs="Arial"/>
        </w:rPr>
      </w:pPr>
      <w:r w:rsidRPr="00821D1A">
        <w:rPr>
          <w:rFonts w:ascii="Arial" w:hAnsi="Arial" w:cs="Arial"/>
          <w:b/>
        </w:rPr>
        <w:tab/>
      </w:r>
      <w:r w:rsidRPr="00F73D6E">
        <w:rPr>
          <w:rFonts w:ascii="Arial" w:hAnsi="Arial" w:cs="Arial"/>
          <w:noProof/>
          <w:lang w:eastAsia="en-ZA"/>
        </w:rPr>
        <w:drawing>
          <wp:inline distT="0" distB="0" distL="0" distR="0">
            <wp:extent cx="4921250" cy="2724150"/>
            <wp:effectExtent l="0" t="0" r="12700" b="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821D1A">
        <w:rPr>
          <w:rFonts w:ascii="Arial" w:hAnsi="Arial" w:cs="Arial"/>
        </w:rPr>
        <w:t xml:space="preserve"> </w:t>
      </w:r>
    </w:p>
    <w:p w:rsidR="00960148" w:rsidRPr="00821D1A" w:rsidRDefault="00960148" w:rsidP="00960148">
      <w:pPr>
        <w:ind w:left="310"/>
        <w:jc w:val="center"/>
        <w:rPr>
          <w:rFonts w:ascii="Arial" w:hAnsi="Arial" w:cs="Arial"/>
        </w:rPr>
      </w:pPr>
    </w:p>
    <w:p w:rsidR="00084C2F" w:rsidRDefault="00960148" w:rsidP="00084C2F">
      <w:pPr>
        <w:ind w:firstLine="990"/>
        <w:rPr>
          <w:lang w:val="en-US"/>
        </w:rPr>
      </w:pPr>
      <w:r w:rsidRPr="00F73D6E">
        <w:rPr>
          <w:noProof/>
          <w:lang w:eastAsia="en-ZA"/>
        </w:rPr>
        <w:drawing>
          <wp:inline distT="0" distB="0" distL="0" distR="0">
            <wp:extent cx="5029200" cy="2444750"/>
            <wp:effectExtent l="0" t="0" r="0" b="1270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84C2F" w:rsidRDefault="00084C2F" w:rsidP="00084C2F">
      <w:pPr>
        <w:ind w:firstLine="990"/>
        <w:rPr>
          <w:lang w:val="en-US"/>
        </w:rPr>
      </w:pPr>
    </w:p>
    <w:p w:rsidR="00960148" w:rsidRPr="00084C2F" w:rsidRDefault="00960148" w:rsidP="00084C2F">
      <w:pPr>
        <w:ind w:left="993" w:hanging="3"/>
        <w:jc w:val="both"/>
        <w:rPr>
          <w:sz w:val="24"/>
          <w:szCs w:val="24"/>
        </w:rPr>
      </w:pPr>
      <w:r w:rsidRPr="00084C2F">
        <w:rPr>
          <w:rFonts w:ascii="Arial" w:hAnsi="Arial" w:cs="Arial"/>
          <w:sz w:val="24"/>
          <w:szCs w:val="24"/>
        </w:rPr>
        <w:t>Due to increased demands, the Health Departments had to derive means to accommodate the additional demands, as it is a statutory obligation for South African Citizens and Permanent Residents that are eligible to perform medical internship and community services, prior to registering as independent practitioners.</w:t>
      </w:r>
    </w:p>
    <w:p w:rsidR="00960148" w:rsidRPr="00084C2F" w:rsidRDefault="00960148" w:rsidP="00084C2F">
      <w:pPr>
        <w:pStyle w:val="ListParagraph"/>
        <w:ind w:left="709"/>
        <w:jc w:val="both"/>
        <w:rPr>
          <w:rFonts w:ascii="Arial" w:hAnsi="Arial" w:cs="Arial"/>
          <w:sz w:val="24"/>
          <w:szCs w:val="24"/>
        </w:rPr>
      </w:pPr>
      <w:r w:rsidRPr="00084C2F">
        <w:rPr>
          <w:rFonts w:ascii="Arial" w:hAnsi="Arial" w:cs="Arial"/>
          <w:sz w:val="24"/>
          <w:szCs w:val="24"/>
        </w:rPr>
        <w:t>The Department then created a Human Resources Training Direct Grant (HRTG) to accommodate the shortfall that cannot be covered through the equitable share.</w:t>
      </w:r>
    </w:p>
    <w:p w:rsidR="00960148" w:rsidRPr="00084C2F" w:rsidRDefault="00960148" w:rsidP="00960148">
      <w:pPr>
        <w:pStyle w:val="ListParagraph"/>
        <w:ind w:left="0"/>
        <w:rPr>
          <w:rFonts w:ascii="Arial" w:hAnsi="Arial" w:cs="Arial"/>
          <w:sz w:val="24"/>
          <w:szCs w:val="24"/>
        </w:rPr>
      </w:pPr>
    </w:p>
    <w:p w:rsidR="00960148" w:rsidRPr="00084C2F" w:rsidRDefault="00960148" w:rsidP="00084C2F">
      <w:pPr>
        <w:ind w:left="709"/>
        <w:jc w:val="both"/>
        <w:rPr>
          <w:rFonts w:ascii="Arial" w:hAnsi="Arial" w:cs="Arial"/>
          <w:sz w:val="24"/>
          <w:szCs w:val="24"/>
        </w:rPr>
      </w:pPr>
      <w:r w:rsidRPr="00084C2F">
        <w:rPr>
          <w:rFonts w:ascii="Arial" w:hAnsi="Arial" w:cs="Arial"/>
          <w:sz w:val="24"/>
          <w:szCs w:val="24"/>
          <w:lang w:eastAsia="en-GB"/>
        </w:rPr>
        <w:t xml:space="preserve">The National Department has established a Ministerial Task Team on safety and security. To date the Ministerial Task Team has developed Security Infrastructure Norms and Standards to ensure a safe and secured work environment in all our public health facilities. Furthermore, we have entered into a Memorandum of Understanding (MOU) with the South African Police Services to assist the department in conducting security assessment in all public health facilities.  </w:t>
      </w:r>
    </w:p>
    <w:p w:rsidR="00960148" w:rsidRPr="00084C2F" w:rsidRDefault="00960148" w:rsidP="00960148">
      <w:pPr>
        <w:pStyle w:val="ListParagraph"/>
        <w:ind w:left="0"/>
        <w:rPr>
          <w:rFonts w:ascii="Arial" w:hAnsi="Arial" w:cs="Arial"/>
          <w:sz w:val="24"/>
          <w:szCs w:val="24"/>
        </w:rPr>
      </w:pPr>
    </w:p>
    <w:p w:rsidR="00960148" w:rsidRDefault="00960148" w:rsidP="00084C2F">
      <w:pPr>
        <w:pStyle w:val="ListParagraph"/>
        <w:numPr>
          <w:ilvl w:val="0"/>
          <w:numId w:val="17"/>
        </w:numPr>
        <w:ind w:hanging="720"/>
        <w:jc w:val="both"/>
        <w:rPr>
          <w:rFonts w:ascii="Arial" w:hAnsi="Arial" w:cs="Arial"/>
          <w:color w:val="000000"/>
          <w:sz w:val="24"/>
          <w:szCs w:val="24"/>
          <w:lang w:eastAsia="en-GB"/>
        </w:rPr>
      </w:pPr>
      <w:r w:rsidRPr="00084C2F">
        <w:rPr>
          <w:rFonts w:ascii="Arial" w:hAnsi="Arial" w:cs="Arial"/>
          <w:sz w:val="24"/>
          <w:szCs w:val="24"/>
        </w:rPr>
        <w:t xml:space="preserve">Due to all these challenges as listed above, the Department has taken an informed decision to commission the comprehensive review of the medical internship and community service Policies. </w:t>
      </w:r>
      <w:r w:rsidRPr="00084C2F">
        <w:rPr>
          <w:rFonts w:ascii="Arial" w:hAnsi="Arial" w:cs="Arial"/>
          <w:color w:val="000000"/>
          <w:sz w:val="24"/>
          <w:szCs w:val="24"/>
          <w:lang w:eastAsia="en-GB"/>
        </w:rPr>
        <w:t xml:space="preserve">The review will amongst others include: </w:t>
      </w:r>
    </w:p>
    <w:p w:rsidR="00084C2F" w:rsidRPr="00084C2F" w:rsidRDefault="00084C2F" w:rsidP="00084C2F">
      <w:pPr>
        <w:pStyle w:val="ListParagraph"/>
        <w:jc w:val="both"/>
        <w:rPr>
          <w:rFonts w:ascii="Arial" w:hAnsi="Arial" w:cs="Arial"/>
          <w:color w:val="000000"/>
          <w:sz w:val="24"/>
          <w:szCs w:val="24"/>
          <w:lang w:eastAsia="en-GB"/>
        </w:rPr>
      </w:pPr>
    </w:p>
    <w:p w:rsidR="00960148" w:rsidRPr="00084C2F" w:rsidRDefault="00960148" w:rsidP="00084C2F">
      <w:pPr>
        <w:pStyle w:val="ListParagraph"/>
        <w:numPr>
          <w:ilvl w:val="0"/>
          <w:numId w:val="16"/>
        </w:numPr>
        <w:spacing w:after="240" w:line="240" w:lineRule="auto"/>
        <w:ind w:left="1418" w:hanging="698"/>
        <w:contextualSpacing w:val="0"/>
        <w:jc w:val="both"/>
        <w:rPr>
          <w:rFonts w:ascii="Arial" w:hAnsi="Arial" w:cs="Arial"/>
          <w:color w:val="000000"/>
          <w:sz w:val="24"/>
          <w:szCs w:val="24"/>
          <w:lang w:eastAsia="en-GB"/>
        </w:rPr>
      </w:pPr>
      <w:r w:rsidRPr="00084C2F">
        <w:rPr>
          <w:rFonts w:ascii="Arial" w:hAnsi="Arial" w:cs="Arial"/>
          <w:color w:val="000000"/>
          <w:sz w:val="24"/>
          <w:szCs w:val="24"/>
          <w:lang w:val="en-US" w:eastAsia="en-GB"/>
        </w:rPr>
        <w:t xml:space="preserve">A review of the </w:t>
      </w:r>
      <w:r w:rsidRPr="00084C2F">
        <w:rPr>
          <w:rFonts w:ascii="Arial" w:hAnsi="Arial" w:cs="Arial"/>
          <w:color w:val="000000"/>
          <w:sz w:val="24"/>
          <w:szCs w:val="24"/>
          <w:lang w:eastAsia="en-GB"/>
        </w:rPr>
        <w:t>impact of Community Service placements on patient care outcomes (as part to the broader service delivery system), especially in rural areas, with limited resources</w:t>
      </w:r>
      <w:r w:rsidRPr="00084C2F">
        <w:rPr>
          <w:rFonts w:ascii="Arial" w:hAnsi="Arial" w:cs="Arial"/>
          <w:color w:val="000000"/>
          <w:sz w:val="24"/>
          <w:szCs w:val="24"/>
          <w:lang w:val="en-US" w:eastAsia="en-GB"/>
        </w:rPr>
        <w:t xml:space="preserve">; </w:t>
      </w:r>
    </w:p>
    <w:p w:rsidR="00960148" w:rsidRPr="00084C2F" w:rsidRDefault="00960148" w:rsidP="00084C2F">
      <w:pPr>
        <w:pStyle w:val="ListParagraph"/>
        <w:numPr>
          <w:ilvl w:val="0"/>
          <w:numId w:val="16"/>
        </w:numPr>
        <w:spacing w:after="240" w:line="240" w:lineRule="auto"/>
        <w:ind w:left="1418" w:hanging="698"/>
        <w:contextualSpacing w:val="0"/>
        <w:jc w:val="both"/>
        <w:rPr>
          <w:rFonts w:ascii="Arial" w:hAnsi="Arial" w:cs="Arial"/>
          <w:color w:val="000000"/>
          <w:sz w:val="24"/>
          <w:szCs w:val="24"/>
          <w:lang w:eastAsia="en-GB"/>
        </w:rPr>
      </w:pPr>
      <w:r w:rsidRPr="00084C2F">
        <w:rPr>
          <w:rFonts w:ascii="Arial" w:hAnsi="Arial" w:cs="Arial"/>
          <w:color w:val="000000"/>
          <w:sz w:val="24"/>
          <w:szCs w:val="24"/>
          <w:lang w:eastAsia="en-GB"/>
        </w:rPr>
        <w:t xml:space="preserve">A review of the capability and skills development of the Community Service placements during their placement periods; </w:t>
      </w:r>
    </w:p>
    <w:p w:rsidR="00960148" w:rsidRPr="00084C2F" w:rsidRDefault="00960148" w:rsidP="00084C2F">
      <w:pPr>
        <w:pStyle w:val="ListParagraph"/>
        <w:numPr>
          <w:ilvl w:val="0"/>
          <w:numId w:val="16"/>
        </w:numPr>
        <w:spacing w:after="240" w:line="240" w:lineRule="auto"/>
        <w:ind w:left="1418" w:hanging="698"/>
        <w:contextualSpacing w:val="0"/>
        <w:jc w:val="both"/>
        <w:rPr>
          <w:rFonts w:ascii="Arial" w:hAnsi="Arial" w:cs="Arial"/>
          <w:color w:val="000000"/>
          <w:sz w:val="24"/>
          <w:szCs w:val="24"/>
          <w:lang w:eastAsia="en-GB"/>
        </w:rPr>
      </w:pPr>
      <w:r w:rsidRPr="00084C2F">
        <w:rPr>
          <w:rFonts w:ascii="Arial" w:hAnsi="Arial" w:cs="Arial"/>
          <w:color w:val="000000"/>
          <w:sz w:val="24"/>
          <w:szCs w:val="24"/>
          <w:lang w:val="en-US" w:eastAsia="en-GB"/>
        </w:rPr>
        <w:t xml:space="preserve">The required pre-Community Service preparation (including curriculum structure and exit competencies across all health professional categories); </w:t>
      </w:r>
    </w:p>
    <w:p w:rsidR="00960148" w:rsidRPr="00084C2F" w:rsidRDefault="00960148" w:rsidP="00084C2F">
      <w:pPr>
        <w:pStyle w:val="ListParagraph"/>
        <w:numPr>
          <w:ilvl w:val="0"/>
          <w:numId w:val="16"/>
        </w:numPr>
        <w:spacing w:after="240" w:line="240" w:lineRule="auto"/>
        <w:ind w:left="1418" w:hanging="698"/>
        <w:contextualSpacing w:val="0"/>
        <w:jc w:val="both"/>
        <w:rPr>
          <w:rFonts w:ascii="Arial" w:hAnsi="Arial" w:cs="Arial"/>
          <w:color w:val="000000"/>
          <w:sz w:val="24"/>
          <w:szCs w:val="24"/>
          <w:lang w:eastAsia="en-GB"/>
        </w:rPr>
      </w:pPr>
      <w:r w:rsidRPr="00084C2F">
        <w:rPr>
          <w:rFonts w:ascii="Arial" w:hAnsi="Arial" w:cs="Arial"/>
          <w:color w:val="000000"/>
          <w:sz w:val="24"/>
          <w:szCs w:val="24"/>
          <w:lang w:val="en-US" w:eastAsia="en-GB"/>
        </w:rPr>
        <w:t>The required support systems and administrative systems for a successful Community Service programme;</w:t>
      </w:r>
    </w:p>
    <w:p w:rsidR="00960148" w:rsidRPr="00084C2F" w:rsidRDefault="00960148" w:rsidP="00084C2F">
      <w:pPr>
        <w:pStyle w:val="ListParagraph"/>
        <w:numPr>
          <w:ilvl w:val="0"/>
          <w:numId w:val="16"/>
        </w:numPr>
        <w:spacing w:after="240" w:line="240" w:lineRule="auto"/>
        <w:ind w:left="1418" w:hanging="698"/>
        <w:contextualSpacing w:val="0"/>
        <w:jc w:val="both"/>
        <w:rPr>
          <w:rFonts w:ascii="Arial" w:hAnsi="Arial" w:cs="Arial"/>
          <w:color w:val="000000"/>
          <w:sz w:val="24"/>
          <w:szCs w:val="24"/>
          <w:lang w:eastAsia="en-GB"/>
        </w:rPr>
      </w:pPr>
      <w:r w:rsidRPr="00084C2F">
        <w:rPr>
          <w:rFonts w:ascii="Arial" w:hAnsi="Arial" w:cs="Arial"/>
          <w:color w:val="000000"/>
          <w:sz w:val="24"/>
          <w:szCs w:val="24"/>
          <w:lang w:val="en-US" w:eastAsia="en-GB"/>
        </w:rPr>
        <w:t xml:space="preserve">The supply line of all graduates and their exit competencies (within the context of the need for a balanced supply line for all health care providers required as part of a multi-disciplinary health care team); and </w:t>
      </w:r>
    </w:p>
    <w:p w:rsidR="00960148" w:rsidRPr="00084C2F" w:rsidRDefault="00960148" w:rsidP="00084C2F">
      <w:pPr>
        <w:pStyle w:val="ListParagraph"/>
        <w:numPr>
          <w:ilvl w:val="0"/>
          <w:numId w:val="16"/>
        </w:numPr>
        <w:spacing w:after="240" w:line="240" w:lineRule="auto"/>
        <w:ind w:left="1418" w:hanging="698"/>
        <w:contextualSpacing w:val="0"/>
        <w:jc w:val="both"/>
        <w:rPr>
          <w:rFonts w:ascii="Arial" w:hAnsi="Arial" w:cs="Arial"/>
          <w:color w:val="000000"/>
          <w:sz w:val="24"/>
          <w:szCs w:val="24"/>
          <w:lang w:eastAsia="en-GB"/>
        </w:rPr>
      </w:pPr>
      <w:r w:rsidRPr="00084C2F">
        <w:rPr>
          <w:rFonts w:ascii="Arial" w:hAnsi="Arial" w:cs="Arial"/>
          <w:color w:val="000000"/>
          <w:sz w:val="24"/>
          <w:szCs w:val="24"/>
          <w:lang w:val="en-US" w:eastAsia="en-GB"/>
        </w:rPr>
        <w:t>The remuneration scales within the context of human resource policy reform (which includes OSD, rural allowance, etc.) of all health care providers entering the health care system, and the medium-to long-term affordability and sustainability</w:t>
      </w:r>
    </w:p>
    <w:p w:rsidR="00960148" w:rsidRPr="00084C2F" w:rsidRDefault="00960148" w:rsidP="00084C2F">
      <w:pPr>
        <w:ind w:left="720"/>
        <w:jc w:val="both"/>
        <w:rPr>
          <w:rFonts w:ascii="Arial" w:hAnsi="Arial" w:cs="Arial"/>
          <w:color w:val="000000"/>
          <w:sz w:val="24"/>
          <w:szCs w:val="24"/>
          <w:lang w:eastAsia="en-GB"/>
        </w:rPr>
      </w:pPr>
      <w:r w:rsidRPr="00084C2F">
        <w:rPr>
          <w:rFonts w:ascii="Arial" w:hAnsi="Arial" w:cs="Arial"/>
          <w:color w:val="000000"/>
          <w:sz w:val="24"/>
          <w:szCs w:val="24"/>
          <w:lang w:eastAsia="en-GB"/>
        </w:rPr>
        <w:t xml:space="preserve">It is desirable that there be alignment between the Community Service policy review and the Medical Intern programme review, within the context of the broader health service delivery and human resource policy context. </w:t>
      </w:r>
    </w:p>
    <w:p w:rsidR="007310ED" w:rsidRPr="00084C2F" w:rsidRDefault="00960148" w:rsidP="00084C2F">
      <w:pPr>
        <w:pStyle w:val="p2"/>
        <w:ind w:left="709"/>
        <w:jc w:val="both"/>
        <w:rPr>
          <w:sz w:val="24"/>
          <w:szCs w:val="24"/>
        </w:rPr>
      </w:pPr>
      <w:r w:rsidRPr="00084C2F">
        <w:rPr>
          <w:color w:val="000000"/>
          <w:sz w:val="24"/>
          <w:szCs w:val="24"/>
          <w:lang w:eastAsia="en-GB"/>
        </w:rPr>
        <w:t>The review should recommend a pragmatic set of options to ensure effective and financially sustainable Medical Internship and Community Service programmes.</w:t>
      </w:r>
    </w:p>
    <w:p w:rsidR="00B57B69" w:rsidRPr="00084C2F" w:rsidRDefault="00B57B69" w:rsidP="007310ED">
      <w:pPr>
        <w:spacing w:line="240" w:lineRule="auto"/>
        <w:jc w:val="both"/>
        <w:rPr>
          <w:rFonts w:ascii="Arial" w:hAnsi="Arial" w:cs="Arial"/>
          <w:sz w:val="24"/>
          <w:szCs w:val="24"/>
        </w:rPr>
      </w:pPr>
    </w:p>
    <w:p w:rsidR="00E134D1" w:rsidRPr="006F49AE" w:rsidRDefault="00B92BFD" w:rsidP="007310ED">
      <w:pPr>
        <w:spacing w:line="240" w:lineRule="auto"/>
        <w:jc w:val="both"/>
        <w:rPr>
          <w:rFonts w:ascii="Arial" w:hAnsi="Arial" w:cs="Arial"/>
          <w:color w:val="000000" w:themeColor="text1"/>
          <w:sz w:val="24"/>
          <w:szCs w:val="24"/>
          <w:lang w:val="en-US"/>
        </w:rPr>
      </w:pPr>
      <w:r w:rsidRPr="006F49AE">
        <w:rPr>
          <w:rFonts w:ascii="Arial" w:hAnsi="Arial" w:cs="Arial"/>
          <w:sz w:val="24"/>
          <w:szCs w:val="24"/>
          <w:lang w:val="en-US"/>
        </w:rPr>
        <w:t>END.</w:t>
      </w:r>
    </w:p>
    <w:sectPr w:rsidR="00E134D1" w:rsidRPr="006F49AE" w:rsidSect="0020357C">
      <w:footerReference w:type="default" r:id="rId9"/>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CC9" w:rsidRDefault="00D12CC9" w:rsidP="00BF747C">
      <w:pPr>
        <w:spacing w:after="0" w:line="240" w:lineRule="auto"/>
      </w:pPr>
      <w:r>
        <w:separator/>
      </w:r>
    </w:p>
  </w:endnote>
  <w:endnote w:type="continuationSeparator" w:id="0">
    <w:p w:rsidR="00D12CC9" w:rsidRDefault="00D12CC9"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6144085"/>
      <w:docPartObj>
        <w:docPartGallery w:val="Page Numbers (Bottom of Page)"/>
        <w:docPartUnique/>
      </w:docPartObj>
    </w:sdtPr>
    <w:sdtEndPr>
      <w:rPr>
        <w:rFonts w:ascii="Arial" w:hAnsi="Arial" w:cs="Arial"/>
        <w:noProof/>
        <w:sz w:val="24"/>
        <w:szCs w:val="24"/>
      </w:rPr>
    </w:sdtEndPr>
    <w:sdtContent>
      <w:p w:rsidR="00E207B7" w:rsidRPr="00E207B7" w:rsidRDefault="00BE7145">
        <w:pPr>
          <w:pStyle w:val="Footer"/>
          <w:jc w:val="center"/>
          <w:rPr>
            <w:rFonts w:ascii="Arial" w:hAnsi="Arial" w:cs="Arial"/>
            <w:sz w:val="24"/>
            <w:szCs w:val="24"/>
          </w:rPr>
        </w:pPr>
        <w:r w:rsidRPr="00E207B7">
          <w:rPr>
            <w:rFonts w:ascii="Arial" w:hAnsi="Arial" w:cs="Arial"/>
            <w:sz w:val="24"/>
            <w:szCs w:val="24"/>
          </w:rPr>
          <w:fldChar w:fldCharType="begin"/>
        </w:r>
        <w:r w:rsidR="00E207B7" w:rsidRPr="00E207B7">
          <w:rPr>
            <w:rFonts w:ascii="Arial" w:hAnsi="Arial" w:cs="Arial"/>
            <w:sz w:val="24"/>
            <w:szCs w:val="24"/>
          </w:rPr>
          <w:instrText xml:space="preserve"> PAGE   \* MERGEFORMAT </w:instrText>
        </w:r>
        <w:r w:rsidRPr="00E207B7">
          <w:rPr>
            <w:rFonts w:ascii="Arial" w:hAnsi="Arial" w:cs="Arial"/>
            <w:sz w:val="24"/>
            <w:szCs w:val="24"/>
          </w:rPr>
          <w:fldChar w:fldCharType="separate"/>
        </w:r>
        <w:r w:rsidR="00D12CC9">
          <w:rPr>
            <w:rFonts w:ascii="Arial" w:hAnsi="Arial" w:cs="Arial"/>
            <w:noProof/>
            <w:sz w:val="24"/>
            <w:szCs w:val="24"/>
          </w:rPr>
          <w:t>1</w:t>
        </w:r>
        <w:r w:rsidRPr="00E207B7">
          <w:rPr>
            <w:rFonts w:ascii="Arial" w:hAnsi="Arial" w:cs="Arial"/>
            <w:noProof/>
            <w:sz w:val="24"/>
            <w:szCs w:val="24"/>
          </w:rPr>
          <w:fldChar w:fldCharType="end"/>
        </w:r>
      </w:p>
    </w:sdtContent>
  </w:sdt>
  <w:p w:rsidR="00E207B7" w:rsidRDefault="00E207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CC9" w:rsidRDefault="00D12CC9" w:rsidP="00BF747C">
      <w:pPr>
        <w:spacing w:after="0" w:line="240" w:lineRule="auto"/>
      </w:pPr>
      <w:r>
        <w:separator/>
      </w:r>
    </w:p>
  </w:footnote>
  <w:footnote w:type="continuationSeparator" w:id="0">
    <w:p w:rsidR="00D12CC9" w:rsidRDefault="00D12CC9"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D650410"/>
    <w:multiLevelType w:val="hybridMultilevel"/>
    <w:tmpl w:val="A2E6D3DC"/>
    <w:lvl w:ilvl="0" w:tplc="05DE9084">
      <w:start w:val="1"/>
      <w:numFmt w:val="decimal"/>
      <w:lvlText w:val="(%1)"/>
      <w:lvlJc w:val="left"/>
      <w:pPr>
        <w:ind w:left="720" w:hanging="360"/>
      </w:pPr>
      <w:rPr>
        <w:rFonts w:eastAsiaTheme="minorHAnsi"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F9327F4"/>
    <w:multiLevelType w:val="hybridMultilevel"/>
    <w:tmpl w:val="07B048BE"/>
    <w:lvl w:ilvl="0" w:tplc="EFC4E1B2">
      <w:start w:val="2"/>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nsid w:val="17F13AEC"/>
    <w:multiLevelType w:val="hybridMultilevel"/>
    <w:tmpl w:val="FBB03040"/>
    <w:lvl w:ilvl="0" w:tplc="49C221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7">
    <w:nsid w:val="1EA9636A"/>
    <w:multiLevelType w:val="hybridMultilevel"/>
    <w:tmpl w:val="583416E6"/>
    <w:lvl w:ilvl="0" w:tplc="CE343C3A">
      <w:start w:val="1"/>
      <w:numFmt w:val="decimal"/>
      <w:lvlText w:val="%1."/>
      <w:lvlJc w:val="left"/>
      <w:pPr>
        <w:ind w:left="720" w:hanging="360"/>
      </w:pPr>
      <w:rPr>
        <w:rFonts w:hint="default"/>
      </w:rPr>
    </w:lvl>
    <w:lvl w:ilvl="1" w:tplc="EE5AAF3A">
      <w:start w:val="1"/>
      <w:numFmt w:val="lowerLetter"/>
      <w:lvlText w:val="%2."/>
      <w:lvlJc w:val="left"/>
      <w:pPr>
        <w:ind w:left="1440" w:hanging="360"/>
      </w:pPr>
      <w:rPr>
        <w:color w:val="auto"/>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5E125CE"/>
    <w:multiLevelType w:val="hybridMultilevel"/>
    <w:tmpl w:val="EBF24E70"/>
    <w:lvl w:ilvl="0" w:tplc="DE4A7A8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1">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4B0228"/>
    <w:multiLevelType w:val="hybridMultilevel"/>
    <w:tmpl w:val="6E7ADD64"/>
    <w:lvl w:ilvl="0" w:tplc="08090003">
      <w:start w:val="1"/>
      <w:numFmt w:val="bullet"/>
      <w:lvlText w:val="o"/>
      <w:lvlJc w:val="left"/>
      <w:pPr>
        <w:ind w:left="2280" w:hanging="360"/>
      </w:pPr>
      <w:rPr>
        <w:rFonts w:ascii="Courier New" w:hAnsi="Courier New" w:cs="Courier New" w:hint="default"/>
      </w:rPr>
    </w:lvl>
    <w:lvl w:ilvl="1" w:tplc="FFFFFFFF" w:tentative="1">
      <w:start w:val="1"/>
      <w:numFmt w:val="bullet"/>
      <w:lvlText w:val="o"/>
      <w:lvlJc w:val="left"/>
      <w:pPr>
        <w:ind w:left="3000" w:hanging="360"/>
      </w:pPr>
      <w:rPr>
        <w:rFonts w:ascii="Courier New" w:hAnsi="Courier New" w:cs="Courier New" w:hint="default"/>
      </w:rPr>
    </w:lvl>
    <w:lvl w:ilvl="2" w:tplc="FFFFFFFF" w:tentative="1">
      <w:start w:val="1"/>
      <w:numFmt w:val="bullet"/>
      <w:lvlText w:val=""/>
      <w:lvlJc w:val="left"/>
      <w:pPr>
        <w:ind w:left="3720" w:hanging="360"/>
      </w:pPr>
      <w:rPr>
        <w:rFonts w:ascii="Wingdings" w:hAnsi="Wingdings" w:hint="default"/>
      </w:rPr>
    </w:lvl>
    <w:lvl w:ilvl="3" w:tplc="FFFFFFFF" w:tentative="1">
      <w:start w:val="1"/>
      <w:numFmt w:val="bullet"/>
      <w:lvlText w:val=""/>
      <w:lvlJc w:val="left"/>
      <w:pPr>
        <w:ind w:left="4440" w:hanging="360"/>
      </w:pPr>
      <w:rPr>
        <w:rFonts w:ascii="Symbol" w:hAnsi="Symbol" w:hint="default"/>
      </w:rPr>
    </w:lvl>
    <w:lvl w:ilvl="4" w:tplc="FFFFFFFF" w:tentative="1">
      <w:start w:val="1"/>
      <w:numFmt w:val="bullet"/>
      <w:lvlText w:val="o"/>
      <w:lvlJc w:val="left"/>
      <w:pPr>
        <w:ind w:left="5160" w:hanging="360"/>
      </w:pPr>
      <w:rPr>
        <w:rFonts w:ascii="Courier New" w:hAnsi="Courier New" w:cs="Courier New" w:hint="default"/>
      </w:rPr>
    </w:lvl>
    <w:lvl w:ilvl="5" w:tplc="FFFFFFFF" w:tentative="1">
      <w:start w:val="1"/>
      <w:numFmt w:val="bullet"/>
      <w:lvlText w:val=""/>
      <w:lvlJc w:val="left"/>
      <w:pPr>
        <w:ind w:left="5880" w:hanging="360"/>
      </w:pPr>
      <w:rPr>
        <w:rFonts w:ascii="Wingdings" w:hAnsi="Wingdings" w:hint="default"/>
      </w:rPr>
    </w:lvl>
    <w:lvl w:ilvl="6" w:tplc="FFFFFFFF" w:tentative="1">
      <w:start w:val="1"/>
      <w:numFmt w:val="bullet"/>
      <w:lvlText w:val=""/>
      <w:lvlJc w:val="left"/>
      <w:pPr>
        <w:ind w:left="6600" w:hanging="360"/>
      </w:pPr>
      <w:rPr>
        <w:rFonts w:ascii="Symbol" w:hAnsi="Symbol" w:hint="default"/>
      </w:rPr>
    </w:lvl>
    <w:lvl w:ilvl="7" w:tplc="FFFFFFFF" w:tentative="1">
      <w:start w:val="1"/>
      <w:numFmt w:val="bullet"/>
      <w:lvlText w:val="o"/>
      <w:lvlJc w:val="left"/>
      <w:pPr>
        <w:ind w:left="7320" w:hanging="360"/>
      </w:pPr>
      <w:rPr>
        <w:rFonts w:ascii="Courier New" w:hAnsi="Courier New" w:cs="Courier New" w:hint="default"/>
      </w:rPr>
    </w:lvl>
    <w:lvl w:ilvl="8" w:tplc="FFFFFFFF" w:tentative="1">
      <w:start w:val="1"/>
      <w:numFmt w:val="bullet"/>
      <w:lvlText w:val=""/>
      <w:lvlJc w:val="left"/>
      <w:pPr>
        <w:ind w:left="8040" w:hanging="360"/>
      </w:pPr>
      <w:rPr>
        <w:rFonts w:ascii="Wingdings" w:hAnsi="Wingdings" w:hint="default"/>
      </w:rPr>
    </w:lvl>
  </w:abstractNum>
  <w:abstractNum w:abstractNumId="13">
    <w:nsid w:val="61461433"/>
    <w:multiLevelType w:val="hybridMultilevel"/>
    <w:tmpl w:val="1D70CD46"/>
    <w:lvl w:ilvl="0" w:tplc="FBD016AC">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5">
    <w:nsid w:val="6840323E"/>
    <w:multiLevelType w:val="hybridMultilevel"/>
    <w:tmpl w:val="87EE23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1"/>
  </w:num>
  <w:num w:numId="3">
    <w:abstractNumId w:val="6"/>
  </w:num>
  <w:num w:numId="4">
    <w:abstractNumId w:val="16"/>
  </w:num>
  <w:num w:numId="5">
    <w:abstractNumId w:val="4"/>
  </w:num>
  <w:num w:numId="6">
    <w:abstractNumId w:val="14"/>
  </w:num>
  <w:num w:numId="7">
    <w:abstractNumId w:val="10"/>
  </w:num>
  <w:num w:numId="8">
    <w:abstractNumId w:val="1"/>
  </w:num>
  <w:num w:numId="9">
    <w:abstractNumId w:val="8"/>
  </w:num>
  <w:num w:numId="10">
    <w:abstractNumId w:val="7"/>
  </w:num>
  <w:num w:numId="11">
    <w:abstractNumId w:val="9"/>
  </w:num>
  <w:num w:numId="12">
    <w:abstractNumId w:val="5"/>
  </w:num>
  <w:num w:numId="13">
    <w:abstractNumId w:val="13"/>
  </w:num>
  <w:num w:numId="14">
    <w:abstractNumId w:val="3"/>
  </w:num>
  <w:num w:numId="15">
    <w:abstractNumId w:val="15"/>
  </w:num>
  <w:num w:numId="16">
    <w:abstractNumId w:val="12"/>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BF747C"/>
    <w:rsid w:val="00001F74"/>
    <w:rsid w:val="00007C76"/>
    <w:rsid w:val="000277C0"/>
    <w:rsid w:val="000324E3"/>
    <w:rsid w:val="00071955"/>
    <w:rsid w:val="00075845"/>
    <w:rsid w:val="00084C2F"/>
    <w:rsid w:val="00096184"/>
    <w:rsid w:val="000A7CCB"/>
    <w:rsid w:val="000C71EE"/>
    <w:rsid w:val="000D5020"/>
    <w:rsid w:val="0010613B"/>
    <w:rsid w:val="001C17A9"/>
    <w:rsid w:val="001F5233"/>
    <w:rsid w:val="002032D2"/>
    <w:rsid w:val="0020357C"/>
    <w:rsid w:val="00242DDF"/>
    <w:rsid w:val="00280359"/>
    <w:rsid w:val="002A6A95"/>
    <w:rsid w:val="00396F5D"/>
    <w:rsid w:val="003C0123"/>
    <w:rsid w:val="003F3E66"/>
    <w:rsid w:val="00423784"/>
    <w:rsid w:val="00431A61"/>
    <w:rsid w:val="00474CEF"/>
    <w:rsid w:val="004862BD"/>
    <w:rsid w:val="00492691"/>
    <w:rsid w:val="004A0D6F"/>
    <w:rsid w:val="004A51DF"/>
    <w:rsid w:val="004C5AF0"/>
    <w:rsid w:val="004C7A6A"/>
    <w:rsid w:val="005021BA"/>
    <w:rsid w:val="0054543E"/>
    <w:rsid w:val="00595BE2"/>
    <w:rsid w:val="005C4A4A"/>
    <w:rsid w:val="005C5F0A"/>
    <w:rsid w:val="006228AA"/>
    <w:rsid w:val="006F49AE"/>
    <w:rsid w:val="006F68C1"/>
    <w:rsid w:val="00714683"/>
    <w:rsid w:val="007310ED"/>
    <w:rsid w:val="007C45DC"/>
    <w:rsid w:val="007F0AE0"/>
    <w:rsid w:val="007F3AA9"/>
    <w:rsid w:val="00896F99"/>
    <w:rsid w:val="008B0BC5"/>
    <w:rsid w:val="008C527F"/>
    <w:rsid w:val="008C6BEE"/>
    <w:rsid w:val="008F7BA5"/>
    <w:rsid w:val="009201C9"/>
    <w:rsid w:val="00931575"/>
    <w:rsid w:val="00960148"/>
    <w:rsid w:val="009D650C"/>
    <w:rsid w:val="00A14AFD"/>
    <w:rsid w:val="00A30707"/>
    <w:rsid w:val="00A36AD9"/>
    <w:rsid w:val="00A774BF"/>
    <w:rsid w:val="00AC3830"/>
    <w:rsid w:val="00AD7274"/>
    <w:rsid w:val="00AE5C7D"/>
    <w:rsid w:val="00AF4B38"/>
    <w:rsid w:val="00B15624"/>
    <w:rsid w:val="00B3497E"/>
    <w:rsid w:val="00B57B69"/>
    <w:rsid w:val="00B62232"/>
    <w:rsid w:val="00B82A02"/>
    <w:rsid w:val="00B92BFD"/>
    <w:rsid w:val="00BC00AC"/>
    <w:rsid w:val="00BE6DE5"/>
    <w:rsid w:val="00BE7145"/>
    <w:rsid w:val="00BF2D39"/>
    <w:rsid w:val="00BF747C"/>
    <w:rsid w:val="00C04731"/>
    <w:rsid w:val="00C43731"/>
    <w:rsid w:val="00C7269F"/>
    <w:rsid w:val="00C95FFF"/>
    <w:rsid w:val="00CE2151"/>
    <w:rsid w:val="00D0246C"/>
    <w:rsid w:val="00D12CC9"/>
    <w:rsid w:val="00D24E18"/>
    <w:rsid w:val="00D26747"/>
    <w:rsid w:val="00D3731B"/>
    <w:rsid w:val="00D5019F"/>
    <w:rsid w:val="00D566C6"/>
    <w:rsid w:val="00D702F8"/>
    <w:rsid w:val="00D81A96"/>
    <w:rsid w:val="00DA1577"/>
    <w:rsid w:val="00DB2477"/>
    <w:rsid w:val="00DC27AD"/>
    <w:rsid w:val="00DF76A2"/>
    <w:rsid w:val="00E01245"/>
    <w:rsid w:val="00E134D1"/>
    <w:rsid w:val="00E207B7"/>
    <w:rsid w:val="00E45F7A"/>
    <w:rsid w:val="00E5287A"/>
    <w:rsid w:val="00E67DB8"/>
    <w:rsid w:val="00E86867"/>
    <w:rsid w:val="00E97960"/>
    <w:rsid w:val="00EA7633"/>
    <w:rsid w:val="00ED6340"/>
    <w:rsid w:val="00F27D65"/>
    <w:rsid w:val="00F5530C"/>
    <w:rsid w:val="00F70BC2"/>
    <w:rsid w:val="00F71A34"/>
    <w:rsid w:val="00FB7649"/>
    <w:rsid w:val="0B7FCA9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145"/>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styleId="NormalWeb">
    <w:name w:val="Normal (Web)"/>
    <w:basedOn w:val="Normal"/>
    <w:uiPriority w:val="99"/>
    <w:unhideWhenUsed/>
    <w:rsid w:val="009201C9"/>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B92BFD"/>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2iqfc">
    <w:name w:val="y2iqfc"/>
    <w:basedOn w:val="DefaultParagraphFont"/>
    <w:rsid w:val="000C71EE"/>
  </w:style>
  <w:style w:type="character" w:styleId="Emphasis">
    <w:name w:val="Emphasis"/>
    <w:basedOn w:val="DefaultParagraphFont"/>
    <w:uiPriority w:val="20"/>
    <w:qFormat/>
    <w:rsid w:val="00D5019F"/>
    <w:rPr>
      <w:rFonts w:cs="Times New Roman"/>
      <w:i/>
      <w:iCs/>
    </w:rPr>
  </w:style>
  <w:style w:type="paragraph" w:customStyle="1" w:styleId="xmsonormal">
    <w:name w:val="x_msonormal"/>
    <w:basedOn w:val="Normal"/>
    <w:rsid w:val="007310E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1">
    <w:name w:val="p1"/>
    <w:basedOn w:val="Normal"/>
    <w:uiPriority w:val="99"/>
    <w:semiHidden/>
    <w:rsid w:val="007310ED"/>
    <w:pPr>
      <w:spacing w:after="0" w:line="240" w:lineRule="auto"/>
    </w:pPr>
    <w:rPr>
      <w:rFonts w:ascii="Arial" w:hAnsi="Arial" w:cs="Arial"/>
      <w:sz w:val="18"/>
      <w:szCs w:val="18"/>
      <w:lang w:eastAsia="en-ZA"/>
    </w:rPr>
  </w:style>
  <w:style w:type="paragraph" w:customStyle="1" w:styleId="p2">
    <w:name w:val="p2"/>
    <w:basedOn w:val="Normal"/>
    <w:uiPriority w:val="99"/>
    <w:semiHidden/>
    <w:rsid w:val="007310ED"/>
    <w:pPr>
      <w:spacing w:after="0" w:line="240" w:lineRule="auto"/>
    </w:pPr>
    <w:rPr>
      <w:rFonts w:ascii="Arial" w:hAnsi="Arial" w:cs="Arial"/>
      <w:sz w:val="17"/>
      <w:szCs w:val="17"/>
      <w:lang w:eastAsia="en-ZA"/>
    </w:rPr>
  </w:style>
  <w:style w:type="paragraph" w:customStyle="1" w:styleId="p3">
    <w:name w:val="p3"/>
    <w:basedOn w:val="Normal"/>
    <w:uiPriority w:val="99"/>
    <w:semiHidden/>
    <w:rsid w:val="007310ED"/>
    <w:pPr>
      <w:spacing w:after="0" w:line="240" w:lineRule="auto"/>
    </w:pPr>
    <w:rPr>
      <w:rFonts w:ascii="Arial" w:hAnsi="Arial" w:cs="Arial"/>
      <w:sz w:val="17"/>
      <w:szCs w:val="17"/>
      <w:lang w:eastAsia="en-ZA"/>
    </w:rPr>
  </w:style>
  <w:style w:type="character" w:customStyle="1" w:styleId="apple-converted-space">
    <w:name w:val="apple-converted-space"/>
    <w:basedOn w:val="DefaultParagraphFont"/>
    <w:rsid w:val="007310ED"/>
  </w:style>
</w:styles>
</file>

<file path=word/webSettings.xml><?xml version="1.0" encoding="utf-8"?>
<w:webSettings xmlns:r="http://schemas.openxmlformats.org/officeDocument/2006/relationships" xmlns:w="http://schemas.openxmlformats.org/wordprocessingml/2006/main">
  <w:divs>
    <w:div w:id="4984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ZA"/>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80" b="0" i="0" u="none" strike="noStrike" kern="1200" spc="0" baseline="0">
                <a:solidFill>
                  <a:schemeClr val="tx1">
                    <a:lumMod val="65000"/>
                    <a:lumOff val="35000"/>
                  </a:schemeClr>
                </a:solidFill>
                <a:latin typeface="+mn-lt"/>
                <a:ea typeface="+mn-ea"/>
                <a:cs typeface="+mn-cs"/>
              </a:defRPr>
            </a:pPr>
            <a:r>
              <a:rPr lang="en-US"/>
              <a:t>Medical Intern:  Persal Appointments as at October each year</a:t>
            </a:r>
            <a:br>
              <a:rPr lang="en-US"/>
            </a:br>
            <a:r>
              <a:rPr lang="en-US"/>
              <a:t>
2016 to 20</a:t>
            </a:r>
          </a:p>
        </c:rich>
      </c:tx>
      <c:layout>
        <c:manualLayout>
          <c:xMode val="edge"/>
          <c:yMode val="edge"/>
          <c:x val="0.13017331885238481"/>
          <c:y val="3.7824945794819154E-2"/>
        </c:manualLayout>
      </c:layout>
      <c:spPr>
        <a:noFill/>
        <a:ln w="25401">
          <a:noFill/>
        </a:ln>
      </c:spPr>
    </c:title>
    <c:plotArea>
      <c:layout>
        <c:manualLayout>
          <c:layoutTarget val="inner"/>
          <c:xMode val="edge"/>
          <c:yMode val="edge"/>
          <c:x val="8.7907057620988716E-2"/>
          <c:y val="0.19958994844641709"/>
          <c:w val="0.87533438376870298"/>
          <c:h val="0.57457296261522739"/>
        </c:manualLayout>
      </c:layout>
      <c:lineChart>
        <c:grouping val="stacked"/>
        <c:ser>
          <c:idx val="0"/>
          <c:order val="0"/>
          <c:tx>
            <c:strRef>
              <c:f>Sheet1_Revised!$A$4</c:f>
              <c:strCache>
                <c:ptCount val="1"/>
                <c:pt idx="0">
                  <c:v>Medical Intern</c:v>
                </c:pt>
              </c:strCache>
            </c:strRef>
          </c:tx>
          <c:spPr>
            <a:ln w="28576" cap="rnd">
              <a:solidFill>
                <a:schemeClr val="accent1"/>
              </a:solidFill>
              <a:round/>
            </a:ln>
            <a:effectLst/>
          </c:spPr>
          <c:marker>
            <c:symbol val="circle"/>
            <c:size val="5"/>
            <c:spPr>
              <a:solidFill>
                <a:schemeClr val="accent1"/>
              </a:solidFill>
              <a:ln w="9525">
                <a:solidFill>
                  <a:schemeClr val="accent1"/>
                </a:solidFill>
              </a:ln>
              <a:effectLst/>
            </c:spPr>
          </c:marker>
          <c:dLbls>
            <c:spPr>
              <a:noFill/>
              <a:ln w="25401">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Val val="1"/>
            <c:extLst xmlns:c16r2="http://schemas.microsoft.com/office/drawing/2015/06/chart">
              <c:ext xmlns:c15="http://schemas.microsoft.com/office/drawing/2012/chart" uri="{CE6537A1-D6FC-4f65-9D91-7224C49458BB}">
                <c15:showLeaderLines val="0"/>
              </c:ext>
            </c:extLst>
          </c:dLbls>
          <c:cat>
            <c:strRef>
              <c:f>Sheet1_Revised!$B$3:$H$3</c:f>
              <c:strCache>
                <c:ptCount val="7"/>
                <c:pt idx="0">
                  <c:v>2016</c:v>
                </c:pt>
                <c:pt idx="1">
                  <c:v>2017</c:v>
                </c:pt>
                <c:pt idx="2">
                  <c:v>2018</c:v>
                </c:pt>
                <c:pt idx="3">
                  <c:v>2019</c:v>
                </c:pt>
                <c:pt idx="4">
                  <c:v>2020</c:v>
                </c:pt>
                <c:pt idx="5">
                  <c:v>2021*</c:v>
                </c:pt>
                <c:pt idx="6">
                  <c:v>2022**</c:v>
                </c:pt>
              </c:strCache>
            </c:strRef>
          </c:cat>
          <c:val>
            <c:numRef>
              <c:f>Sheet1_Revised!$B$4:$H$4</c:f>
              <c:numCache>
                <c:formatCode>General</c:formatCode>
                <c:ptCount val="7"/>
                <c:pt idx="0">
                  <c:v>1500</c:v>
                </c:pt>
                <c:pt idx="1">
                  <c:v>1598</c:v>
                </c:pt>
                <c:pt idx="2">
                  <c:v>1595</c:v>
                </c:pt>
                <c:pt idx="3">
                  <c:v>1899</c:v>
                </c:pt>
                <c:pt idx="4">
                  <c:v>2369</c:v>
                </c:pt>
                <c:pt idx="5">
                  <c:v>2594</c:v>
                </c:pt>
                <c:pt idx="6">
                  <c:v>2625</c:v>
                </c:pt>
              </c:numCache>
            </c:numRef>
          </c:val>
          <c:extLst xmlns:c16r2="http://schemas.microsoft.com/office/drawing/2015/06/chart">
            <c:ext xmlns:c16="http://schemas.microsoft.com/office/drawing/2014/chart" uri="{C3380CC4-5D6E-409C-BE32-E72D297353CC}">
              <c16:uniqueId val="{00000000-55CA-43D8-B32B-C2BE3867831D}"/>
            </c:ext>
          </c:extLst>
        </c:ser>
        <c:marker val="1"/>
        <c:axId val="139961856"/>
        <c:axId val="152352256"/>
      </c:lineChart>
      <c:catAx>
        <c:axId val="13996185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2352256"/>
        <c:crosses val="autoZero"/>
        <c:auto val="1"/>
        <c:lblAlgn val="ctr"/>
        <c:lblOffset val="100"/>
      </c:catAx>
      <c:valAx>
        <c:axId val="15235225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9961856"/>
        <c:crosses val="autoZero"/>
        <c:crossBetween val="between"/>
      </c:valAx>
      <c:spPr>
        <a:noFill/>
        <a:ln w="25401">
          <a:noFill/>
        </a:ln>
      </c:spPr>
    </c:plotArea>
    <c:legend>
      <c:legendPos val="b"/>
      <c:spPr>
        <a:noFill/>
        <a:ln w="25401">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sz="900"/>
      </a:pPr>
      <a:endParaRPr lang="en-US"/>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ZA"/>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60" b="0" i="0" u="none" strike="noStrike" kern="1200" spc="0" baseline="0">
                <a:solidFill>
                  <a:schemeClr val="tx1">
                    <a:lumMod val="65000"/>
                    <a:lumOff val="35000"/>
                  </a:schemeClr>
                </a:solidFill>
                <a:latin typeface="+mn-lt"/>
                <a:ea typeface="+mn-ea"/>
                <a:cs typeface="+mn-cs"/>
              </a:defRPr>
            </a:pPr>
            <a:r>
              <a:rPr lang="en-US"/>
              <a:t>Medical CommServ:  Persal Appointments as at October each year</a:t>
            </a:r>
            <a:br>
              <a:rPr lang="en-US"/>
            </a:br>
            <a:r>
              <a:rPr lang="en-US"/>
              <a:t>
2016 to 202</a:t>
            </a:r>
          </a:p>
        </c:rich>
      </c:tx>
      <c:spPr>
        <a:noFill/>
        <a:ln>
          <a:noFill/>
        </a:ln>
        <a:effectLst/>
      </c:spPr>
    </c:title>
    <c:plotArea>
      <c:layout/>
      <c:lineChart>
        <c:grouping val="stacked"/>
        <c:ser>
          <c:idx val="0"/>
          <c:order val="0"/>
          <c:tx>
            <c:strRef>
              <c:f>Sheet1_Revised!$A$6</c:f>
              <c:strCache>
                <c:ptCount val="1"/>
                <c:pt idx="0">
                  <c:v>Medical CommServ</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showVal val="1"/>
            <c:extLst xmlns:c16r2="http://schemas.microsoft.com/office/drawing/2015/06/chart">
              <c:ext xmlns:c15="http://schemas.microsoft.com/office/drawing/2012/chart" uri="{CE6537A1-D6FC-4f65-9D91-7224C49458BB}">
                <c15:showLeaderLines val="0"/>
              </c:ext>
            </c:extLst>
          </c:dLbls>
          <c:cat>
            <c:strRef>
              <c:f>Sheet1_Revised!$B$3:$H$3</c:f>
              <c:strCache>
                <c:ptCount val="7"/>
                <c:pt idx="0">
                  <c:v>2016</c:v>
                </c:pt>
                <c:pt idx="1">
                  <c:v>2017</c:v>
                </c:pt>
                <c:pt idx="2">
                  <c:v>2018</c:v>
                </c:pt>
                <c:pt idx="3">
                  <c:v>2019</c:v>
                </c:pt>
                <c:pt idx="4">
                  <c:v>2020</c:v>
                </c:pt>
                <c:pt idx="5">
                  <c:v>2021*</c:v>
                </c:pt>
                <c:pt idx="6">
                  <c:v>2022**</c:v>
                </c:pt>
              </c:strCache>
            </c:strRef>
          </c:cat>
          <c:val>
            <c:numRef>
              <c:f>Sheet1_Revised!$B$6:$H$6</c:f>
              <c:numCache>
                <c:formatCode>General</c:formatCode>
                <c:ptCount val="7"/>
                <c:pt idx="0">
                  <c:v>1322</c:v>
                </c:pt>
                <c:pt idx="1">
                  <c:v>1218</c:v>
                </c:pt>
                <c:pt idx="2">
                  <c:v>1348</c:v>
                </c:pt>
                <c:pt idx="3">
                  <c:v>1406</c:v>
                </c:pt>
                <c:pt idx="4">
                  <c:v>1505</c:v>
                </c:pt>
                <c:pt idx="5">
                  <c:v>1775</c:v>
                </c:pt>
                <c:pt idx="6">
                  <c:v>2369</c:v>
                </c:pt>
              </c:numCache>
            </c:numRef>
          </c:val>
          <c:extLst xmlns:c16r2="http://schemas.microsoft.com/office/drawing/2015/06/chart">
            <c:ext xmlns:c16="http://schemas.microsoft.com/office/drawing/2014/chart" uri="{C3380CC4-5D6E-409C-BE32-E72D297353CC}">
              <c16:uniqueId val="{00000000-1FD9-4C85-917E-F222C29B7DD8}"/>
            </c:ext>
          </c:extLst>
        </c:ser>
        <c:marker val="1"/>
        <c:axId val="131369984"/>
        <c:axId val="144859904"/>
      </c:lineChart>
      <c:catAx>
        <c:axId val="13136998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44859904"/>
        <c:crosses val="autoZero"/>
        <c:auto val="1"/>
        <c:lblAlgn val="ctr"/>
        <c:lblOffset val="100"/>
      </c:catAx>
      <c:valAx>
        <c:axId val="14485990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31369984"/>
        <c:crosses val="autoZero"/>
        <c:crossBetween val="between"/>
      </c:valAx>
      <c:spPr>
        <a:noFill/>
        <a:ln w="25400">
          <a:noFill/>
        </a:ln>
      </c:spPr>
    </c:plotArea>
    <c:legend>
      <c:legendPos val="b"/>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sz="800"/>
      </a:pPr>
      <a:endParaRPr lang="en-US"/>
    </a:p>
  </c:txPr>
  <c:externalData r:id="rId2"/>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defaultTabStop w:val="720"/>
  <w:characterSpacingControl w:val="doNotCompress"/>
  <w:compat>
    <w:useFELayout/>
  </w:compat>
  <w:rsids>
    <w:rsidRoot w:val="00C608DE"/>
    <w:rsid w:val="00C608D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r="http://schemas.openxmlformats.org/officeDocument/2006/relationships" xmlns:w="http://schemas.openxmlformats.org/wordprocessingml/2006/main"/>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3</Pages>
  <Words>725</Words>
  <Characters>4137</Characters>
  <Application>Microsoft Office Word</Application>
  <DocSecurity>0</DocSecurity>
  <Lines>34</Lines>
  <Paragraphs>9</Paragraphs>
  <ScaleCrop>false</ScaleCrop>
  <Company>Toshiba</Company>
  <LinksUpToDate>false</LinksUpToDate>
  <CharactersWithSpaces>4853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2022-10-25T08:46:00Z</dcterms:created>
  <dcterms:modified xsi:type="dcterms:W3CDTF">2022-10-25T08:46:00Z</dcterms:modified>
</cp:coreProperties>
</file>