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4850"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4333FE" w:rsidRDefault="00B70947" w:rsidP="00B70947">
      <w:pPr>
        <w:jc w:val="center"/>
        <w:rPr>
          <w:b/>
          <w:caps/>
          <w:color w:val="ED7D31" w:themeColor="accent2"/>
          <w:sz w:val="22"/>
          <w:szCs w:val="22"/>
        </w:rPr>
      </w:pPr>
      <w:r w:rsidRPr="004333FE">
        <w:rPr>
          <w:b/>
          <w:caps/>
          <w:color w:val="ED7D31" w:themeColor="accent2"/>
          <w:sz w:val="22"/>
          <w:szCs w:val="22"/>
        </w:rPr>
        <w:t>Ministry</w:t>
      </w:r>
    </w:p>
    <w:p w:rsidR="00B70947" w:rsidRPr="004333FE" w:rsidRDefault="00D46D12" w:rsidP="00B70947">
      <w:pPr>
        <w:jc w:val="center"/>
        <w:rPr>
          <w:b/>
          <w:caps/>
          <w:color w:val="ED7D31" w:themeColor="accent2"/>
          <w:sz w:val="22"/>
          <w:szCs w:val="22"/>
        </w:rPr>
      </w:pPr>
      <w:r w:rsidRPr="004333FE">
        <w:rPr>
          <w:b/>
          <w:caps/>
          <w:color w:val="ED7D31" w:themeColor="accent2"/>
          <w:sz w:val="22"/>
          <w:szCs w:val="22"/>
        </w:rPr>
        <w:t xml:space="preserve">Employment &amp; </w:t>
      </w:r>
      <w:r w:rsidR="00B70947" w:rsidRPr="004333FE">
        <w:rPr>
          <w:b/>
          <w:caps/>
          <w:color w:val="ED7D31" w:themeColor="accent2"/>
          <w:sz w:val="22"/>
          <w:szCs w:val="22"/>
        </w:rPr>
        <w:t>Labour</w:t>
      </w:r>
    </w:p>
    <w:p w:rsidR="00B70947" w:rsidRPr="004333FE" w:rsidRDefault="00B70947" w:rsidP="00B70947">
      <w:pPr>
        <w:jc w:val="center"/>
        <w:rPr>
          <w:b/>
          <w:caps/>
          <w:color w:val="ED7D31" w:themeColor="accent2"/>
          <w:sz w:val="22"/>
          <w:szCs w:val="22"/>
        </w:rPr>
      </w:pPr>
      <w:r w:rsidRPr="004333FE">
        <w:rPr>
          <w:b/>
          <w:caps/>
          <w:color w:val="ED7D31" w:themeColor="accent2"/>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37449E"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656BB6" w:rsidRPr="00E141ED" w:rsidRDefault="00B70947" w:rsidP="00E141ED">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2737FE" w:rsidRDefault="002737FE" w:rsidP="00CA06D6">
      <w:pPr>
        <w:widowControl w:val="0"/>
        <w:autoSpaceDE w:val="0"/>
        <w:autoSpaceDN w:val="0"/>
        <w:jc w:val="center"/>
        <w:rPr>
          <w:rFonts w:eastAsia="Helvetica" w:cs="Arial"/>
          <w:b/>
          <w:szCs w:val="24"/>
          <w:lang w:val="en-US" w:bidi="en-US"/>
        </w:rPr>
      </w:pPr>
    </w:p>
    <w:p w:rsidR="00CA06D6" w:rsidRPr="00152576" w:rsidRDefault="00CA06D6" w:rsidP="00CA06D6">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NATIONAL ASSEMBLY</w:t>
      </w:r>
    </w:p>
    <w:p w:rsidR="00CA06D6" w:rsidRPr="00152576" w:rsidRDefault="00CA06D6" w:rsidP="00CA06D6">
      <w:pPr>
        <w:widowControl w:val="0"/>
        <w:autoSpaceDE w:val="0"/>
        <w:autoSpaceDN w:val="0"/>
        <w:jc w:val="center"/>
        <w:rPr>
          <w:rFonts w:eastAsia="Helvetica" w:cs="Arial"/>
          <w:b/>
          <w:szCs w:val="24"/>
          <w:lang w:val="en-US" w:bidi="en-US"/>
        </w:rPr>
      </w:pPr>
    </w:p>
    <w:p w:rsidR="00CA06D6" w:rsidRPr="00152576" w:rsidRDefault="00CA06D6" w:rsidP="00CA06D6">
      <w:pPr>
        <w:widowControl w:val="0"/>
        <w:autoSpaceDE w:val="0"/>
        <w:autoSpaceDN w:val="0"/>
        <w:jc w:val="center"/>
        <w:rPr>
          <w:rFonts w:eastAsia="Helvetica" w:cs="Arial"/>
          <w:b/>
          <w:szCs w:val="24"/>
          <w:lang w:val="en-US" w:bidi="en-US"/>
        </w:rPr>
      </w:pPr>
      <w:r w:rsidRPr="00152576">
        <w:rPr>
          <w:rFonts w:eastAsia="Helvetica" w:cs="Arial"/>
          <w:b/>
          <w:szCs w:val="24"/>
          <w:lang w:val="en-US" w:bidi="en-US"/>
        </w:rPr>
        <w:t>WRITTEN REPLY</w:t>
      </w:r>
    </w:p>
    <w:p w:rsidR="00CA06D6" w:rsidRPr="00152576" w:rsidRDefault="00CA06D6" w:rsidP="00CA06D6">
      <w:pPr>
        <w:widowControl w:val="0"/>
        <w:autoSpaceDE w:val="0"/>
        <w:autoSpaceDN w:val="0"/>
        <w:jc w:val="center"/>
        <w:rPr>
          <w:rFonts w:eastAsia="Helvetica" w:cs="Arial"/>
          <w:b/>
          <w:szCs w:val="24"/>
          <w:lang w:val="en-US" w:bidi="en-US"/>
        </w:rPr>
      </w:pPr>
    </w:p>
    <w:p w:rsidR="00C45896" w:rsidRDefault="00656BB6" w:rsidP="00E141ED">
      <w:pPr>
        <w:widowControl w:val="0"/>
        <w:autoSpaceDE w:val="0"/>
        <w:autoSpaceDN w:val="0"/>
        <w:jc w:val="center"/>
        <w:rPr>
          <w:rFonts w:eastAsia="Helvetica" w:cs="Arial"/>
          <w:b/>
          <w:szCs w:val="24"/>
          <w:lang w:val="en-US" w:bidi="en-US"/>
        </w:rPr>
      </w:pPr>
      <w:r>
        <w:rPr>
          <w:rFonts w:eastAsia="Helvetica" w:cs="Arial"/>
          <w:b/>
          <w:szCs w:val="24"/>
          <w:lang w:val="en-US" w:bidi="en-US"/>
        </w:rPr>
        <w:t xml:space="preserve">QUESTION </w:t>
      </w:r>
      <w:r w:rsidR="002737FE">
        <w:rPr>
          <w:rFonts w:eastAsia="Helvetica" w:cs="Arial"/>
          <w:b/>
          <w:szCs w:val="24"/>
          <w:lang w:val="en-US" w:bidi="en-US"/>
        </w:rPr>
        <w:t>35</w:t>
      </w:r>
      <w:r w:rsidR="00E141ED">
        <w:rPr>
          <w:rFonts w:eastAsia="Helvetica" w:cs="Arial"/>
          <w:b/>
          <w:szCs w:val="24"/>
          <w:lang w:val="en-US" w:bidi="en-US"/>
        </w:rPr>
        <w:t>8</w:t>
      </w:r>
      <w:r w:rsidR="002737FE">
        <w:rPr>
          <w:rFonts w:eastAsia="Helvetica" w:cs="Arial"/>
          <w:b/>
          <w:szCs w:val="24"/>
          <w:lang w:val="en-US" w:bidi="en-US"/>
        </w:rPr>
        <w:t xml:space="preserve"> / NW1330</w:t>
      </w:r>
      <w:r w:rsidR="00CA06D6" w:rsidRPr="00152576">
        <w:rPr>
          <w:rFonts w:eastAsia="Helvetica" w:cs="Arial"/>
          <w:b/>
          <w:szCs w:val="24"/>
          <w:lang w:val="en-US" w:bidi="en-US"/>
        </w:rPr>
        <w:t>E</w:t>
      </w:r>
      <w:r w:rsidR="00CA06D6" w:rsidRPr="00152576">
        <w:rPr>
          <w:rFonts w:eastAsia="Helvetica" w:cs="Arial"/>
          <w:b/>
          <w:szCs w:val="24"/>
          <w:lang w:val="en-US" w:bidi="en-US"/>
        </w:rPr>
        <w:tab/>
      </w:r>
    </w:p>
    <w:p w:rsidR="00E141ED" w:rsidRPr="00E141ED" w:rsidRDefault="00E141ED" w:rsidP="00E141ED">
      <w:pPr>
        <w:widowControl w:val="0"/>
        <w:autoSpaceDE w:val="0"/>
        <w:autoSpaceDN w:val="0"/>
        <w:jc w:val="center"/>
        <w:rPr>
          <w:rFonts w:eastAsia="Helvetica" w:cs="Arial"/>
          <w:b/>
          <w:szCs w:val="24"/>
          <w:lang w:val="en-US" w:bidi="en-US"/>
        </w:rPr>
      </w:pPr>
    </w:p>
    <w:p w:rsidR="002737FE" w:rsidRDefault="002737FE" w:rsidP="002737FE">
      <w:pPr>
        <w:pStyle w:val="Body"/>
        <w:spacing w:before="100" w:after="100"/>
        <w:ind w:left="720" w:hanging="720"/>
        <w:jc w:val="both"/>
        <w:outlineLvl w:val="0"/>
        <w:rPr>
          <w:rFonts w:cs="Arial"/>
          <w:b/>
          <w:bCs/>
          <w:lang w:val="en-US"/>
        </w:rPr>
      </w:pPr>
    </w:p>
    <w:p w:rsidR="002737FE" w:rsidRPr="002737FE" w:rsidRDefault="002737FE" w:rsidP="002737FE">
      <w:pPr>
        <w:pStyle w:val="Body"/>
        <w:spacing w:before="100" w:after="100"/>
        <w:ind w:left="720" w:hanging="720"/>
        <w:jc w:val="both"/>
        <w:outlineLvl w:val="0"/>
        <w:rPr>
          <w:rFonts w:eastAsia="Times New Roman" w:cs="Arial"/>
          <w:b/>
          <w:bCs/>
        </w:rPr>
      </w:pPr>
      <w:r w:rsidRPr="002737FE">
        <w:rPr>
          <w:rFonts w:cs="Arial"/>
          <w:b/>
          <w:bCs/>
          <w:lang w:val="en-US"/>
        </w:rPr>
        <w:t>358.</w:t>
      </w:r>
      <w:r w:rsidRPr="00E03730">
        <w:rPr>
          <w:rFonts w:cs="Arial"/>
          <w:bCs/>
          <w:lang w:val="en-US"/>
        </w:rPr>
        <w:tab/>
      </w:r>
      <w:r w:rsidRPr="002737FE">
        <w:rPr>
          <w:rFonts w:cs="Arial"/>
          <w:b/>
          <w:bCs/>
          <w:lang w:val="en-US"/>
        </w:rPr>
        <w:t xml:space="preserve">Ms E R J Spies (DA) to ask the Minister of Employment and Labour: </w:t>
      </w:r>
    </w:p>
    <w:p w:rsidR="002737FE" w:rsidRDefault="002737FE" w:rsidP="002737FE">
      <w:pPr>
        <w:pStyle w:val="Body"/>
        <w:spacing w:before="100" w:after="100" w:line="360" w:lineRule="auto"/>
        <w:ind w:left="720"/>
        <w:jc w:val="both"/>
        <w:rPr>
          <w:rFonts w:cs="Arial"/>
          <w:lang w:val="en-US"/>
        </w:rPr>
      </w:pPr>
    </w:p>
    <w:p w:rsidR="002737FE" w:rsidRDefault="002737FE" w:rsidP="002737FE">
      <w:pPr>
        <w:pStyle w:val="Body"/>
        <w:spacing w:before="100" w:after="100" w:line="360" w:lineRule="auto"/>
        <w:ind w:left="720"/>
        <w:jc w:val="both"/>
        <w:rPr>
          <w:rFonts w:cs="Arial"/>
        </w:rPr>
      </w:pPr>
      <w:r w:rsidRPr="00E03730">
        <w:rPr>
          <w:rFonts w:cs="Arial"/>
          <w:lang w:val="en-US"/>
        </w:rPr>
        <w:t xml:space="preserve">What (a) number of official international trips is (i) he and (ii) his deputy planning to undertake in the 2019-22 medium term expenditure framework, (b) will the (i) destination, (ii) date, (iii) purpose </w:t>
      </w:r>
      <w:r w:rsidRPr="00E03730">
        <w:rPr>
          <w:rFonts w:cs="Arial"/>
        </w:rPr>
        <w:t>and</w:t>
      </w:r>
      <w:r w:rsidRPr="00E03730">
        <w:rPr>
          <w:rFonts w:cs="Arial"/>
          <w:lang w:val="en-US"/>
        </w:rPr>
        <w:t xml:space="preserve"> (iv) number of persons who will travel with the delegation be and (c) is the detailed breakdown of the expected cost of (i) flights, (ii) accommodation and (iii) any other expenses in each case</w:t>
      </w:r>
      <w:r>
        <w:rPr>
          <w:rFonts w:cs="Arial"/>
          <w:lang w:val="ru-RU"/>
        </w:rPr>
        <w:t xml:space="preserve">? </w:t>
      </w:r>
      <w:r>
        <w:rPr>
          <w:rFonts w:cs="Arial"/>
          <w:lang w:val="ru-RU"/>
        </w:rPr>
        <w:tab/>
      </w:r>
      <w:r>
        <w:rPr>
          <w:rFonts w:cs="Arial"/>
          <w:lang w:val="ru-RU"/>
        </w:rPr>
        <w:tab/>
      </w:r>
      <w:r>
        <w:rPr>
          <w:rFonts w:cs="Arial"/>
          <w:lang w:val="ru-RU"/>
        </w:rPr>
        <w:tab/>
      </w:r>
      <w:r>
        <w:rPr>
          <w:rFonts w:cs="Arial"/>
          <w:lang w:val="ru-RU"/>
        </w:rPr>
        <w:tab/>
      </w:r>
      <w:r>
        <w:rPr>
          <w:rFonts w:cs="Arial"/>
          <w:lang w:val="ru-RU"/>
        </w:rPr>
        <w:tab/>
      </w:r>
      <w:r>
        <w:rPr>
          <w:rFonts w:cs="Arial"/>
          <w:lang w:val="ru-RU"/>
        </w:rPr>
        <w:tab/>
        <w:t>[</w:t>
      </w:r>
      <w:r w:rsidRPr="00E03730">
        <w:rPr>
          <w:rFonts w:cs="Arial"/>
        </w:rPr>
        <w:t>NW1330E</w:t>
      </w:r>
      <w:r>
        <w:rPr>
          <w:rFonts w:cs="Arial"/>
        </w:rPr>
        <w:t>]</w:t>
      </w:r>
    </w:p>
    <w:p w:rsidR="002737FE" w:rsidRDefault="002737FE" w:rsidP="002737FE">
      <w:pPr>
        <w:pStyle w:val="Body"/>
        <w:pBdr>
          <w:bottom w:val="single" w:sz="6" w:space="1" w:color="auto"/>
        </w:pBdr>
        <w:spacing w:before="100" w:after="100" w:line="360" w:lineRule="auto"/>
        <w:jc w:val="both"/>
        <w:rPr>
          <w:rFonts w:cs="Arial"/>
        </w:rPr>
      </w:pPr>
    </w:p>
    <w:p w:rsidR="002737FE" w:rsidRDefault="002737FE" w:rsidP="002737FE">
      <w:pPr>
        <w:pStyle w:val="Body"/>
        <w:pBdr>
          <w:top w:val="none" w:sz="0" w:space="0" w:color="auto"/>
        </w:pBdr>
        <w:spacing w:before="100" w:after="100" w:line="360" w:lineRule="auto"/>
        <w:jc w:val="both"/>
        <w:rPr>
          <w:rFonts w:cs="Arial"/>
        </w:rPr>
      </w:pPr>
    </w:p>
    <w:p w:rsidR="002737FE" w:rsidRDefault="002737FE" w:rsidP="002737FE">
      <w:pPr>
        <w:pStyle w:val="Body"/>
        <w:pBdr>
          <w:top w:val="none" w:sz="0" w:space="0" w:color="auto"/>
        </w:pBdr>
        <w:spacing w:before="100" w:after="100" w:line="360" w:lineRule="auto"/>
        <w:jc w:val="both"/>
        <w:rPr>
          <w:rFonts w:cs="Arial"/>
          <w:b/>
        </w:rPr>
      </w:pPr>
      <w:r w:rsidRPr="002737FE">
        <w:rPr>
          <w:rFonts w:cs="Arial"/>
          <w:b/>
        </w:rPr>
        <w:t>REPLY</w:t>
      </w:r>
      <w:r>
        <w:rPr>
          <w:rFonts w:cs="Arial"/>
          <w:b/>
        </w:rPr>
        <w:t>:</w:t>
      </w:r>
    </w:p>
    <w:p w:rsidR="002737FE" w:rsidRPr="00E03730" w:rsidRDefault="002737FE" w:rsidP="002737FE">
      <w:pPr>
        <w:pStyle w:val="Body"/>
        <w:spacing w:before="100" w:after="100" w:line="360" w:lineRule="auto"/>
        <w:jc w:val="both"/>
        <w:outlineLvl w:val="0"/>
        <w:rPr>
          <w:rFonts w:cs="Arial"/>
          <w:bCs/>
          <w:lang w:val="en-US"/>
        </w:rPr>
      </w:pPr>
      <w:r w:rsidRPr="00E03730">
        <w:rPr>
          <w:rFonts w:cs="Arial"/>
          <w:bCs/>
          <w:lang w:val="en-US"/>
        </w:rPr>
        <w:t>Annually, there are several standard meetings which the Ministry is obliged to attend.  These include the Arlac Governing Council, SADC Labour and Employment Ministerial Meetings, G20 Labour and Employment Ministerial Meetings, BRICS Labour and Employment Ministerial Meeting (LEMM), ILO Governing Body and International Labour Conference, possible BI-National Commissions held at Head of State level and whose programme is determined by Dirco and departmental bilateral engagements which are determined on an ongoing basis.</w:t>
      </w:r>
    </w:p>
    <w:p w:rsidR="002737FE" w:rsidRPr="00E03730" w:rsidRDefault="002737FE" w:rsidP="002737FE">
      <w:pPr>
        <w:pStyle w:val="Body"/>
        <w:spacing w:before="100" w:after="100" w:line="360" w:lineRule="auto"/>
        <w:jc w:val="both"/>
        <w:outlineLvl w:val="0"/>
        <w:rPr>
          <w:rFonts w:cs="Arial"/>
          <w:bCs/>
          <w:lang w:val="en-US"/>
        </w:rPr>
      </w:pPr>
    </w:p>
    <w:p w:rsidR="002737FE" w:rsidRDefault="002737FE" w:rsidP="002737FE">
      <w:pPr>
        <w:pStyle w:val="Body"/>
        <w:spacing w:before="100" w:after="100" w:line="360" w:lineRule="auto"/>
        <w:jc w:val="both"/>
        <w:outlineLvl w:val="0"/>
        <w:rPr>
          <w:rFonts w:cs="Arial"/>
          <w:bCs/>
          <w:lang w:val="en-US"/>
        </w:rPr>
      </w:pPr>
      <w:r w:rsidRPr="00E03730">
        <w:rPr>
          <w:rFonts w:cs="Arial"/>
          <w:bCs/>
          <w:lang w:val="en-US"/>
        </w:rPr>
        <w:t>Apart from the ILO meetings which are permanently held in Geneva, venues for other meetings are determined by the rotating hosts and this information is only available as the hosts take over the Presidency.  The rotating Presidency of these meetings makes it difficult to deduce any costs associated with attendance until the venue and hosting city is decided and communicated.</w:t>
      </w:r>
    </w:p>
    <w:p w:rsidR="002737FE" w:rsidRPr="00E03730" w:rsidRDefault="002737FE" w:rsidP="002737FE">
      <w:pPr>
        <w:pStyle w:val="Body"/>
        <w:spacing w:before="100" w:after="100" w:line="360" w:lineRule="auto"/>
        <w:jc w:val="both"/>
        <w:outlineLvl w:val="0"/>
        <w:rPr>
          <w:rFonts w:cs="Arial"/>
          <w:bCs/>
          <w:lang w:val="en-US"/>
        </w:rPr>
      </w:pPr>
    </w:p>
    <w:p w:rsidR="002737FE" w:rsidRPr="00E03730" w:rsidRDefault="002737FE" w:rsidP="002737FE">
      <w:pPr>
        <w:pStyle w:val="Body"/>
        <w:spacing w:before="100" w:after="100" w:line="360" w:lineRule="auto"/>
        <w:jc w:val="both"/>
        <w:outlineLvl w:val="0"/>
        <w:rPr>
          <w:rFonts w:cs="Arial"/>
          <w:bCs/>
          <w:lang w:val="en-US"/>
        </w:rPr>
      </w:pPr>
      <w:r w:rsidRPr="00E03730">
        <w:rPr>
          <w:rFonts w:cs="Arial"/>
          <w:bCs/>
          <w:lang w:val="en-US"/>
        </w:rPr>
        <w:t>For example, Saudi Arabia will host the 2019 G20 and the venue of the LEMM is unknown till possibly next year March.  Russia will take over the Presidency of BRICS; similarly, the venue of the LEMM will be communicated sometime next year.  For the Geneva meetings, the costs of accommodation are negotiated annually via our Embassy and this normally takes place towards the end of the year.</w:t>
      </w:r>
    </w:p>
    <w:p w:rsidR="002737FE" w:rsidRPr="00E03730" w:rsidRDefault="002737FE" w:rsidP="002737FE">
      <w:pPr>
        <w:pStyle w:val="Body"/>
        <w:spacing w:before="100" w:after="100" w:line="360" w:lineRule="auto"/>
        <w:jc w:val="both"/>
        <w:outlineLvl w:val="0"/>
        <w:rPr>
          <w:rFonts w:cs="Arial"/>
          <w:bCs/>
          <w:lang w:val="en-US"/>
        </w:rPr>
      </w:pPr>
    </w:p>
    <w:p w:rsidR="002737FE" w:rsidRPr="00E03730" w:rsidRDefault="002737FE" w:rsidP="002737FE">
      <w:pPr>
        <w:pStyle w:val="Body"/>
        <w:spacing w:before="100" w:after="100" w:line="360" w:lineRule="auto"/>
        <w:jc w:val="both"/>
        <w:outlineLvl w:val="0"/>
        <w:rPr>
          <w:rFonts w:cs="Arial"/>
          <w:bCs/>
          <w:lang w:val="en-US"/>
        </w:rPr>
      </w:pPr>
      <w:r w:rsidRPr="00E03730">
        <w:rPr>
          <w:rFonts w:cs="Arial"/>
          <w:bCs/>
          <w:lang w:val="en-US"/>
        </w:rPr>
        <w:t>It should also be noted that attendance of Departmental delegations to these meetings is determined by agenda issues for consideration.  As such, it is currently impossible to determine the number of delegates nor associated costs.</w:t>
      </w:r>
    </w:p>
    <w:p w:rsidR="002737FE" w:rsidRPr="00E03730" w:rsidRDefault="002737FE" w:rsidP="002737FE">
      <w:pPr>
        <w:pStyle w:val="Body"/>
        <w:spacing w:before="100" w:after="100" w:line="360" w:lineRule="auto"/>
        <w:jc w:val="both"/>
        <w:outlineLvl w:val="0"/>
        <w:rPr>
          <w:rFonts w:cs="Arial"/>
          <w:bCs/>
          <w:lang w:val="en-US"/>
        </w:rPr>
      </w:pPr>
    </w:p>
    <w:p w:rsidR="002737FE" w:rsidRDefault="002737FE" w:rsidP="002737FE">
      <w:pPr>
        <w:pStyle w:val="Body"/>
        <w:spacing w:before="100" w:after="100" w:line="360" w:lineRule="auto"/>
        <w:jc w:val="both"/>
        <w:outlineLvl w:val="0"/>
        <w:rPr>
          <w:rFonts w:cs="Arial"/>
          <w:bCs/>
          <w:lang w:val="en-US"/>
        </w:rPr>
      </w:pPr>
      <w:r w:rsidRPr="00E03730">
        <w:rPr>
          <w:rFonts w:cs="Arial"/>
          <w:bCs/>
          <w:lang w:val="en-US"/>
        </w:rPr>
        <w:t>Further it should be noted that there are obligatory statutory requirements to cover the costs of participation of the business and labour constituencies to some of these meetings.  Again, the numbers are determined by the technical issues under consideration.</w:t>
      </w:r>
    </w:p>
    <w:p w:rsidR="0022475D" w:rsidRDefault="0022475D" w:rsidP="002737FE">
      <w:pPr>
        <w:pStyle w:val="Body"/>
        <w:pBdr>
          <w:bottom w:val="single" w:sz="6" w:space="1" w:color="auto"/>
        </w:pBdr>
        <w:spacing w:before="100" w:after="100" w:line="360" w:lineRule="auto"/>
        <w:jc w:val="both"/>
        <w:outlineLvl w:val="0"/>
        <w:rPr>
          <w:rFonts w:cs="Arial"/>
          <w:bCs/>
          <w:lang w:val="en-US"/>
        </w:rPr>
      </w:pPr>
    </w:p>
    <w:p w:rsidR="0022475D" w:rsidRPr="00E03730" w:rsidRDefault="0022475D" w:rsidP="002737FE">
      <w:pPr>
        <w:pStyle w:val="Body"/>
        <w:pBdr>
          <w:top w:val="none" w:sz="0" w:space="0" w:color="auto"/>
        </w:pBdr>
        <w:spacing w:before="100" w:after="100" w:line="360" w:lineRule="auto"/>
        <w:jc w:val="both"/>
        <w:outlineLvl w:val="0"/>
        <w:rPr>
          <w:rFonts w:cs="Arial"/>
          <w:bCs/>
          <w:lang w:val="en-US"/>
        </w:rPr>
      </w:pPr>
      <w:bookmarkStart w:id="0" w:name="_GoBack"/>
      <w:bookmarkEnd w:id="0"/>
    </w:p>
    <w:p w:rsidR="002737FE" w:rsidRPr="002737FE" w:rsidRDefault="002737FE" w:rsidP="002737FE">
      <w:pPr>
        <w:pStyle w:val="Body"/>
        <w:pBdr>
          <w:top w:val="none" w:sz="0" w:space="0" w:color="auto"/>
        </w:pBdr>
        <w:spacing w:before="100" w:after="100" w:line="360" w:lineRule="auto"/>
        <w:jc w:val="both"/>
        <w:rPr>
          <w:rFonts w:cs="Arial"/>
          <w:b/>
        </w:rPr>
      </w:pPr>
    </w:p>
    <w:p w:rsidR="00C45896" w:rsidRPr="00A17A42" w:rsidRDefault="00C45896" w:rsidP="00C45896">
      <w:pPr>
        <w:spacing w:before="100" w:beforeAutospacing="1" w:after="100" w:afterAutospacing="1" w:line="259" w:lineRule="auto"/>
        <w:jc w:val="both"/>
        <w:outlineLvl w:val="0"/>
        <w:rPr>
          <w:rFonts w:eastAsiaTheme="minorHAnsi" w:cs="Arial"/>
          <w:szCs w:val="24"/>
          <w:lang w:val="en-ZA"/>
        </w:rPr>
      </w:pPr>
    </w:p>
    <w:p w:rsidR="00AE43EF" w:rsidRPr="00CA06D6" w:rsidRDefault="00AE43EF" w:rsidP="00C45896">
      <w:pPr>
        <w:spacing w:before="100" w:beforeAutospacing="1" w:after="100" w:afterAutospacing="1" w:line="259" w:lineRule="auto"/>
        <w:ind w:left="360"/>
        <w:jc w:val="both"/>
        <w:outlineLvl w:val="0"/>
        <w:rPr>
          <w:rFonts w:eastAsiaTheme="minorHAnsi" w:cs="Arial"/>
          <w:szCs w:val="24"/>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90722C" w:rsidP="00B371F7">
      <w:pPr>
        <w:spacing w:before="100" w:beforeAutospacing="1" w:after="100" w:afterAutospacing="1" w:line="259" w:lineRule="auto"/>
        <w:jc w:val="both"/>
        <w:outlineLvl w:val="0"/>
        <w:rPr>
          <w:rFonts w:eastAsiaTheme="minorHAnsi" w:cs="Arial"/>
          <w:szCs w:val="24"/>
          <w:lang w:val="en-ZA"/>
        </w:rPr>
      </w:pPr>
      <w:r>
        <w:rPr>
          <w:rFonts w:eastAsiaTheme="minorHAnsi" w:cs="Arial"/>
          <w:szCs w:val="24"/>
          <w:lang w:val="en-ZA"/>
        </w:rPr>
        <w:lastRenderedPageBreak/>
        <w:tab/>
      </w:r>
      <w:r>
        <w:rPr>
          <w:rFonts w:eastAsiaTheme="minorHAnsi" w:cs="Arial"/>
          <w:szCs w:val="24"/>
          <w:lang w:val="en-ZA"/>
        </w:rPr>
        <w:tab/>
      </w: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p w:rsidR="00A17A42" w:rsidRPr="00A17A42" w:rsidRDefault="00A17A42" w:rsidP="00B371F7">
      <w:pPr>
        <w:spacing w:before="100" w:beforeAutospacing="1" w:after="100" w:afterAutospacing="1" w:line="259" w:lineRule="auto"/>
        <w:jc w:val="both"/>
        <w:outlineLvl w:val="0"/>
        <w:rPr>
          <w:rFonts w:eastAsiaTheme="minorHAnsi" w:cs="Arial"/>
          <w:szCs w:val="24"/>
          <w:lang w:val="en-ZA"/>
        </w:rPr>
      </w:pPr>
    </w:p>
    <w:sectPr w:rsidR="00A17A42" w:rsidRPr="00A17A42"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449E" w:rsidRDefault="0037449E" w:rsidP="00646E39">
      <w:r>
        <w:separator/>
      </w:r>
    </w:p>
  </w:endnote>
  <w:endnote w:type="continuationSeparator" w:id="0">
    <w:p w:rsidR="0037449E" w:rsidRDefault="0037449E" w:rsidP="00646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E39" w:rsidRDefault="00646E39">
    <w:pPr>
      <w:pStyle w:val="Footer"/>
      <w:jc w:val="center"/>
    </w:pPr>
    <w:r>
      <w:fldChar w:fldCharType="begin"/>
    </w:r>
    <w:r>
      <w:instrText xml:space="preserve"> PAGE   \* MERGEFORMAT </w:instrText>
    </w:r>
    <w:r>
      <w:fldChar w:fldCharType="separate"/>
    </w:r>
    <w:r w:rsidR="0022475D">
      <w:rPr>
        <w:noProof/>
      </w:rPr>
      <w:t>1</w:t>
    </w:r>
    <w:r>
      <w:rPr>
        <w:noProof/>
      </w:rPr>
      <w:fldChar w:fldCharType="end"/>
    </w:r>
  </w:p>
  <w:p w:rsidR="00646E39" w:rsidRDefault="00646E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449E" w:rsidRDefault="0037449E" w:rsidP="00646E39">
      <w:r>
        <w:separator/>
      </w:r>
    </w:p>
  </w:footnote>
  <w:footnote w:type="continuationSeparator" w:id="0">
    <w:p w:rsidR="0037449E" w:rsidRDefault="0037449E" w:rsidP="00646E3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DA0B4B"/>
    <w:multiLevelType w:val="hybridMultilevel"/>
    <w:tmpl w:val="F5C070C8"/>
    <w:lvl w:ilvl="0" w:tplc="E0DCF83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2A7"/>
    <w:rsid w:val="000034D3"/>
    <w:rsid w:val="0004639E"/>
    <w:rsid w:val="00053D39"/>
    <w:rsid w:val="00060BC9"/>
    <w:rsid w:val="00070E30"/>
    <w:rsid w:val="00083048"/>
    <w:rsid w:val="000B46BB"/>
    <w:rsid w:val="000E3E84"/>
    <w:rsid w:val="00132042"/>
    <w:rsid w:val="0013744A"/>
    <w:rsid w:val="001872A7"/>
    <w:rsid w:val="00197D8E"/>
    <w:rsid w:val="00210A29"/>
    <w:rsid w:val="00210E97"/>
    <w:rsid w:val="0022475D"/>
    <w:rsid w:val="0024010C"/>
    <w:rsid w:val="002737FE"/>
    <w:rsid w:val="002864BC"/>
    <w:rsid w:val="00287415"/>
    <w:rsid w:val="002D38A3"/>
    <w:rsid w:val="00303EA7"/>
    <w:rsid w:val="00337B29"/>
    <w:rsid w:val="00356381"/>
    <w:rsid w:val="0037449E"/>
    <w:rsid w:val="003946AA"/>
    <w:rsid w:val="0039754E"/>
    <w:rsid w:val="003C1294"/>
    <w:rsid w:val="003C2B89"/>
    <w:rsid w:val="003C538B"/>
    <w:rsid w:val="003E7F6C"/>
    <w:rsid w:val="003F2860"/>
    <w:rsid w:val="0041333B"/>
    <w:rsid w:val="004333FE"/>
    <w:rsid w:val="00472A7F"/>
    <w:rsid w:val="00473D97"/>
    <w:rsid w:val="00491D11"/>
    <w:rsid w:val="00491FC8"/>
    <w:rsid w:val="004945A0"/>
    <w:rsid w:val="004B0E63"/>
    <w:rsid w:val="004B134A"/>
    <w:rsid w:val="004D1B84"/>
    <w:rsid w:val="004D3E5D"/>
    <w:rsid w:val="004D7AAE"/>
    <w:rsid w:val="004F066C"/>
    <w:rsid w:val="0051244B"/>
    <w:rsid w:val="00531FBB"/>
    <w:rsid w:val="005454F7"/>
    <w:rsid w:val="00551E1A"/>
    <w:rsid w:val="0057390A"/>
    <w:rsid w:val="00594603"/>
    <w:rsid w:val="005A270F"/>
    <w:rsid w:val="005B0B22"/>
    <w:rsid w:val="005D4FC4"/>
    <w:rsid w:val="00611C65"/>
    <w:rsid w:val="00624906"/>
    <w:rsid w:val="00646E39"/>
    <w:rsid w:val="00656BB6"/>
    <w:rsid w:val="00682242"/>
    <w:rsid w:val="00683A8C"/>
    <w:rsid w:val="006A3CC4"/>
    <w:rsid w:val="006B2322"/>
    <w:rsid w:val="006B3814"/>
    <w:rsid w:val="006B59F9"/>
    <w:rsid w:val="006B66A3"/>
    <w:rsid w:val="00701F0B"/>
    <w:rsid w:val="00720156"/>
    <w:rsid w:val="00723C32"/>
    <w:rsid w:val="007426A8"/>
    <w:rsid w:val="00773011"/>
    <w:rsid w:val="007B5AD1"/>
    <w:rsid w:val="007D51CE"/>
    <w:rsid w:val="007E3ECB"/>
    <w:rsid w:val="007E6F52"/>
    <w:rsid w:val="007F7723"/>
    <w:rsid w:val="008106C5"/>
    <w:rsid w:val="00810C11"/>
    <w:rsid w:val="0084624F"/>
    <w:rsid w:val="0084742A"/>
    <w:rsid w:val="0090722C"/>
    <w:rsid w:val="00917A69"/>
    <w:rsid w:val="0093224E"/>
    <w:rsid w:val="00961B84"/>
    <w:rsid w:val="009943C4"/>
    <w:rsid w:val="009A4BD6"/>
    <w:rsid w:val="009B0C6D"/>
    <w:rsid w:val="009B14B2"/>
    <w:rsid w:val="009B779E"/>
    <w:rsid w:val="009D7180"/>
    <w:rsid w:val="009E46C0"/>
    <w:rsid w:val="009E7E58"/>
    <w:rsid w:val="009F46AD"/>
    <w:rsid w:val="00A17A42"/>
    <w:rsid w:val="00A32CCC"/>
    <w:rsid w:val="00A55C17"/>
    <w:rsid w:val="00A601AA"/>
    <w:rsid w:val="00A76353"/>
    <w:rsid w:val="00AB7EDD"/>
    <w:rsid w:val="00AC0747"/>
    <w:rsid w:val="00AC170C"/>
    <w:rsid w:val="00AC52E9"/>
    <w:rsid w:val="00AD7C35"/>
    <w:rsid w:val="00AE43EF"/>
    <w:rsid w:val="00AF2191"/>
    <w:rsid w:val="00AF5608"/>
    <w:rsid w:val="00B0592D"/>
    <w:rsid w:val="00B371F7"/>
    <w:rsid w:val="00B506F8"/>
    <w:rsid w:val="00B70947"/>
    <w:rsid w:val="00B711C5"/>
    <w:rsid w:val="00B86FFB"/>
    <w:rsid w:val="00BB0477"/>
    <w:rsid w:val="00BB75DA"/>
    <w:rsid w:val="00BC26EE"/>
    <w:rsid w:val="00C0505E"/>
    <w:rsid w:val="00C15480"/>
    <w:rsid w:val="00C1660B"/>
    <w:rsid w:val="00C45896"/>
    <w:rsid w:val="00C54CA6"/>
    <w:rsid w:val="00C60A5C"/>
    <w:rsid w:val="00C75C93"/>
    <w:rsid w:val="00CA06D6"/>
    <w:rsid w:val="00CB422B"/>
    <w:rsid w:val="00CC2B53"/>
    <w:rsid w:val="00CE4338"/>
    <w:rsid w:val="00D13158"/>
    <w:rsid w:val="00D208A6"/>
    <w:rsid w:val="00D46D12"/>
    <w:rsid w:val="00D64996"/>
    <w:rsid w:val="00D66930"/>
    <w:rsid w:val="00D833A0"/>
    <w:rsid w:val="00D91831"/>
    <w:rsid w:val="00DC4EA3"/>
    <w:rsid w:val="00E049A0"/>
    <w:rsid w:val="00E141ED"/>
    <w:rsid w:val="00E26639"/>
    <w:rsid w:val="00E335AE"/>
    <w:rsid w:val="00E46C6E"/>
    <w:rsid w:val="00E47DA5"/>
    <w:rsid w:val="00E516AA"/>
    <w:rsid w:val="00E60511"/>
    <w:rsid w:val="00E62F07"/>
    <w:rsid w:val="00E65D3A"/>
    <w:rsid w:val="00E7319D"/>
    <w:rsid w:val="00E83359"/>
    <w:rsid w:val="00E87985"/>
    <w:rsid w:val="00E91253"/>
    <w:rsid w:val="00E91284"/>
    <w:rsid w:val="00E95CE7"/>
    <w:rsid w:val="00EB787E"/>
    <w:rsid w:val="00EB7C76"/>
    <w:rsid w:val="00F43048"/>
    <w:rsid w:val="00FB44EE"/>
    <w:rsid w:val="00FC653D"/>
    <w:rsid w:val="00FD10C7"/>
    <w:rsid w:val="00FE1D66"/>
    <w:rsid w:val="00FE5CF3"/>
    <w:rsid w:val="00FF7F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03B59"/>
  <w15:chartTrackingRefBased/>
  <w15:docId w15:val="{A36AB869-B51F-49A6-9035-059479647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Body">
    <w:name w:val="Body"/>
    <w:rsid w:val="002737FE"/>
    <w:pPr>
      <w:pBdr>
        <w:top w:val="nil"/>
        <w:left w:val="nil"/>
        <w:bottom w:val="nil"/>
        <w:right w:val="nil"/>
        <w:between w:val="nil"/>
        <w:bar w:val="nil"/>
      </w:pBdr>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01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2723</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Liapeng Makhele</dc:creator>
  <cp:keywords/>
  <cp:lastModifiedBy>Thando Wababa (MIN)</cp:lastModifiedBy>
  <cp:revision>3</cp:revision>
  <cp:lastPrinted>2019-06-04T15:52:00Z</cp:lastPrinted>
  <dcterms:created xsi:type="dcterms:W3CDTF">2019-08-18T13:17:00Z</dcterms:created>
  <dcterms:modified xsi:type="dcterms:W3CDTF">2019-08-18T13:23:00Z</dcterms:modified>
</cp:coreProperties>
</file>