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62" w:rsidRDefault="006C1462" w:rsidP="006C1462">
      <w:pPr>
        <w:jc w:val="both"/>
      </w:pPr>
      <w:bookmarkStart w:id="0" w:name="_GoBack"/>
      <w:bookmarkEnd w:id="0"/>
      <w:r>
        <w:t xml:space="preserve">QUOTE </w:t>
      </w:r>
    </w:p>
    <w:p w:rsidR="006C1462" w:rsidRDefault="006C1462" w:rsidP="006C1462">
      <w:pPr>
        <w:ind w:left="1440" w:firstLine="720"/>
        <w:rPr>
          <w:rFonts w:ascii="Arial" w:hAnsi="Arial"/>
          <w:b/>
        </w:rPr>
      </w:pPr>
    </w:p>
    <w:p w:rsidR="006C1462" w:rsidRDefault="006C1462" w:rsidP="006C1462">
      <w:pPr>
        <w:pStyle w:val="Heading3"/>
        <w:rPr>
          <w:lang w:val="en-GB"/>
        </w:rPr>
      </w:pPr>
      <w:r>
        <w:rPr>
          <w:lang w:val="en-GB"/>
        </w:rPr>
        <w:t>NATIONAL ASSEMBLY</w:t>
      </w:r>
    </w:p>
    <w:p w:rsidR="006C1462" w:rsidRPr="00C36F27" w:rsidRDefault="006C1462" w:rsidP="006C1462">
      <w:pPr>
        <w:rPr>
          <w:b/>
          <w:szCs w:val="24"/>
        </w:rPr>
      </w:pPr>
    </w:p>
    <w:p w:rsidR="006C1462" w:rsidRPr="00C36F27" w:rsidRDefault="006C1462" w:rsidP="006C1462">
      <w:pPr>
        <w:rPr>
          <w:b/>
          <w:szCs w:val="24"/>
        </w:rPr>
      </w:pPr>
      <w:r w:rsidRPr="00C36F27">
        <w:rPr>
          <w:b/>
          <w:szCs w:val="24"/>
        </w:rPr>
        <w:t>FOR WRITTEN REPLY</w:t>
      </w:r>
    </w:p>
    <w:p w:rsidR="006C1462" w:rsidRPr="00C36F27" w:rsidRDefault="006C1462" w:rsidP="006C1462">
      <w:pPr>
        <w:pStyle w:val="Heading1"/>
        <w:rPr>
          <w:szCs w:val="24"/>
        </w:rPr>
      </w:pPr>
    </w:p>
    <w:p w:rsidR="006C1462" w:rsidRPr="00C36F27" w:rsidRDefault="006C1462" w:rsidP="006C1462">
      <w:pPr>
        <w:pStyle w:val="Heading1"/>
        <w:rPr>
          <w:szCs w:val="24"/>
        </w:rPr>
      </w:pPr>
      <w:r w:rsidRPr="00C36F27">
        <w:rPr>
          <w:szCs w:val="24"/>
        </w:rPr>
        <w:t>QUESTION NO:</w:t>
      </w:r>
      <w:r w:rsidRPr="00C36F27">
        <w:rPr>
          <w:szCs w:val="24"/>
        </w:rPr>
        <w:tab/>
        <w:t>3575</w:t>
      </w:r>
    </w:p>
    <w:p w:rsidR="006C1462" w:rsidRPr="00C36F27" w:rsidRDefault="006C1462" w:rsidP="006C1462">
      <w:pPr>
        <w:rPr>
          <w:szCs w:val="24"/>
        </w:rPr>
      </w:pPr>
    </w:p>
    <w:p w:rsidR="006C1462" w:rsidRPr="00C36F27" w:rsidRDefault="006C1462" w:rsidP="006C1462">
      <w:pPr>
        <w:rPr>
          <w:b/>
          <w:szCs w:val="24"/>
        </w:rPr>
      </w:pPr>
      <w:r w:rsidRPr="00C36F27">
        <w:rPr>
          <w:b/>
          <w:szCs w:val="24"/>
        </w:rPr>
        <w:t>PUBLISHED IN INTERNAL QUESTION PAPER NO: 41 OF 2017</w:t>
      </w:r>
    </w:p>
    <w:p w:rsidR="006C1462" w:rsidRPr="00C36F27" w:rsidRDefault="006C1462" w:rsidP="006C1462">
      <w:pPr>
        <w:rPr>
          <w:b/>
          <w:szCs w:val="24"/>
        </w:rPr>
      </w:pPr>
    </w:p>
    <w:p w:rsidR="006C1462" w:rsidRPr="00C36F27" w:rsidRDefault="006C1462" w:rsidP="006C1462">
      <w:pPr>
        <w:spacing w:before="100" w:beforeAutospacing="1" w:after="100" w:afterAutospacing="1"/>
        <w:rPr>
          <w:snapToGrid w:val="0"/>
          <w:szCs w:val="24"/>
        </w:rPr>
      </w:pPr>
      <w:r w:rsidRPr="00C36F27">
        <w:rPr>
          <w:snapToGrid w:val="0"/>
          <w:szCs w:val="24"/>
        </w:rPr>
        <w:t xml:space="preserve">Dr </w:t>
      </w:r>
      <w:proofErr w:type="gramStart"/>
      <w:r w:rsidRPr="00C36F27">
        <w:rPr>
          <w:snapToGrid w:val="0"/>
          <w:szCs w:val="24"/>
        </w:rPr>
        <w:t>A</w:t>
      </w:r>
      <w:proofErr w:type="gramEnd"/>
      <w:r w:rsidRPr="00C36F27">
        <w:rPr>
          <w:snapToGrid w:val="0"/>
          <w:szCs w:val="24"/>
        </w:rPr>
        <w:t xml:space="preserve"> </w:t>
      </w:r>
      <w:proofErr w:type="spellStart"/>
      <w:r w:rsidRPr="00C36F27">
        <w:rPr>
          <w:snapToGrid w:val="0"/>
          <w:szCs w:val="24"/>
        </w:rPr>
        <w:t>Lotriet</w:t>
      </w:r>
      <w:proofErr w:type="spellEnd"/>
      <w:r w:rsidRPr="00C36F27">
        <w:rPr>
          <w:snapToGrid w:val="0"/>
          <w:szCs w:val="24"/>
        </w:rPr>
        <w:t xml:space="preserve"> (DA) to ask the Minister of International Relations and Cooperation:</w:t>
      </w:r>
    </w:p>
    <w:p w:rsidR="006C1462" w:rsidRPr="00C36F27" w:rsidRDefault="006C1462" w:rsidP="006C146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Cs/>
          <w:szCs w:val="24"/>
        </w:rPr>
      </w:pPr>
      <w:r w:rsidRPr="00C36F27">
        <w:rPr>
          <w:snapToGrid w:val="0"/>
          <w:szCs w:val="24"/>
        </w:rPr>
        <w:t>(a) What is the total number of supplier invoices that currently remain unpaid by (</w:t>
      </w:r>
      <w:proofErr w:type="spellStart"/>
      <w:r w:rsidRPr="00C36F27">
        <w:rPr>
          <w:snapToGrid w:val="0"/>
          <w:szCs w:val="24"/>
        </w:rPr>
        <w:t>i</w:t>
      </w:r>
      <w:proofErr w:type="spellEnd"/>
      <w:r w:rsidRPr="00C36F27">
        <w:rPr>
          <w:snapToGrid w:val="0"/>
          <w:szCs w:val="24"/>
        </w:rPr>
        <w:t>) her department and (ii) each entity reporting to her for more than (</w:t>
      </w:r>
      <w:proofErr w:type="spellStart"/>
      <w:proofErr w:type="gramStart"/>
      <w:r w:rsidRPr="00C36F27">
        <w:rPr>
          <w:snapToGrid w:val="0"/>
          <w:szCs w:val="24"/>
        </w:rPr>
        <w:t>aa</w:t>
      </w:r>
      <w:proofErr w:type="spellEnd"/>
      <w:proofErr w:type="gramEnd"/>
      <w:r w:rsidRPr="00C36F27">
        <w:rPr>
          <w:snapToGrid w:val="0"/>
          <w:szCs w:val="24"/>
        </w:rPr>
        <w:t>) 30 days, (bb) 60 days, (cc) 90 days and (</w:t>
      </w:r>
      <w:proofErr w:type="spellStart"/>
      <w:r w:rsidRPr="00C36F27">
        <w:rPr>
          <w:snapToGrid w:val="0"/>
          <w:szCs w:val="24"/>
        </w:rPr>
        <w:t>dd</w:t>
      </w:r>
      <w:proofErr w:type="spellEnd"/>
      <w:r w:rsidRPr="00C36F27">
        <w:rPr>
          <w:snapToGrid w:val="0"/>
          <w:szCs w:val="24"/>
        </w:rPr>
        <w:t>) 120 days and (b) what is the total amount outstanding in each case?</w:t>
      </w:r>
      <w:r w:rsidRPr="00C36F27">
        <w:rPr>
          <w:bCs/>
          <w:szCs w:val="24"/>
        </w:rPr>
        <w:t>      NW4003E</w:t>
      </w:r>
    </w:p>
    <w:p w:rsidR="006C1462" w:rsidRPr="00C36F27" w:rsidRDefault="006C1462" w:rsidP="006C146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Cs w:val="24"/>
        </w:rPr>
      </w:pPr>
      <w:r w:rsidRPr="00C36F27">
        <w:rPr>
          <w:bCs/>
          <w:szCs w:val="24"/>
        </w:rPr>
        <w:t>                                     </w:t>
      </w:r>
    </w:p>
    <w:p w:rsidR="006C1462" w:rsidRPr="00C36F27" w:rsidRDefault="006C1462" w:rsidP="006C146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Cs w:val="24"/>
        </w:rPr>
      </w:pPr>
      <w:r w:rsidRPr="00C36F27">
        <w:rPr>
          <w:b/>
          <w:snapToGrid w:val="0"/>
          <w:szCs w:val="24"/>
        </w:rPr>
        <w:t>REPLY:</w:t>
      </w:r>
    </w:p>
    <w:p w:rsidR="006C1462" w:rsidRPr="00C36F27" w:rsidRDefault="006C1462" w:rsidP="006C1462">
      <w:pPr>
        <w:jc w:val="both"/>
        <w:rPr>
          <w:b/>
          <w:snapToGrid w:val="0"/>
          <w:szCs w:val="24"/>
        </w:rPr>
      </w:pPr>
    </w:p>
    <w:p w:rsidR="006C1462" w:rsidRPr="002F7C33" w:rsidRDefault="006C1462" w:rsidP="006C1462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The D</w:t>
      </w:r>
      <w:r w:rsidRPr="005D109A">
        <w:rPr>
          <w:szCs w:val="24"/>
        </w:rPr>
        <w:t xml:space="preserve">epartment of International Relations and Cooperation has 223 invoices that were not paid within 30 days. </w:t>
      </w:r>
      <w:r w:rsidRPr="002F7C33">
        <w:rPr>
          <w:szCs w:val="24"/>
        </w:rPr>
        <w:t xml:space="preserve">The bulk of unpaid invoices relate to unresolved contractual obligations that needed to be finalised before the payment is processed. The negotiations in </w:t>
      </w:r>
      <w:proofErr w:type="spellStart"/>
      <w:r w:rsidRPr="002F7C33">
        <w:rPr>
          <w:szCs w:val="24"/>
        </w:rPr>
        <w:t>ralations</w:t>
      </w:r>
      <w:proofErr w:type="spellEnd"/>
      <w:r w:rsidRPr="002F7C33">
        <w:rPr>
          <w:szCs w:val="24"/>
        </w:rPr>
        <w:t xml:space="preserve"> to unpaid invoices has been concluded and payments will be released before the end of the third quarter.</w:t>
      </w:r>
    </w:p>
    <w:p w:rsidR="006C1462" w:rsidRPr="005D109A" w:rsidRDefault="006C1462" w:rsidP="006C1462">
      <w:pPr>
        <w:ind w:left="720"/>
        <w:jc w:val="both"/>
        <w:rPr>
          <w:szCs w:val="24"/>
        </w:rPr>
      </w:pPr>
    </w:p>
    <w:p w:rsidR="006C1462" w:rsidRPr="005D109A" w:rsidRDefault="006C1462" w:rsidP="006C1462">
      <w:pPr>
        <w:numPr>
          <w:ilvl w:val="0"/>
          <w:numId w:val="2"/>
        </w:numPr>
        <w:jc w:val="both"/>
        <w:rPr>
          <w:szCs w:val="24"/>
        </w:rPr>
      </w:pPr>
      <w:r w:rsidRPr="005D109A">
        <w:rPr>
          <w:szCs w:val="24"/>
        </w:rPr>
        <w:t xml:space="preserve">An entity of the department African </w:t>
      </w:r>
      <w:proofErr w:type="spellStart"/>
      <w:r w:rsidRPr="005D109A">
        <w:rPr>
          <w:szCs w:val="24"/>
        </w:rPr>
        <w:t>Rennaisance</w:t>
      </w:r>
      <w:proofErr w:type="spellEnd"/>
      <w:r w:rsidRPr="005D109A">
        <w:rPr>
          <w:szCs w:val="24"/>
        </w:rPr>
        <w:t xml:space="preserve"> Fund (ARF) does not have any invoices older than 30 days. </w:t>
      </w:r>
    </w:p>
    <w:p w:rsidR="006C1462" w:rsidRPr="005D109A" w:rsidRDefault="006C1462" w:rsidP="006C1462">
      <w:pPr>
        <w:ind w:left="720"/>
        <w:jc w:val="both"/>
        <w:rPr>
          <w:szCs w:val="24"/>
        </w:rPr>
      </w:pPr>
    </w:p>
    <w:p w:rsidR="006C1462" w:rsidRPr="005D109A" w:rsidRDefault="006C1462" w:rsidP="006C1462">
      <w:pPr>
        <w:jc w:val="both"/>
        <w:rPr>
          <w:szCs w:val="24"/>
        </w:rPr>
      </w:pPr>
      <w:r w:rsidRPr="005D109A">
        <w:rPr>
          <w:szCs w:val="24"/>
        </w:rPr>
        <w:t>(</w:t>
      </w:r>
      <w:proofErr w:type="spellStart"/>
      <w:proofErr w:type="gramStart"/>
      <w:r w:rsidRPr="005D109A">
        <w:rPr>
          <w:szCs w:val="24"/>
        </w:rPr>
        <w:t>aa</w:t>
      </w:r>
      <w:proofErr w:type="spellEnd"/>
      <w:proofErr w:type="gramEnd"/>
      <w:r w:rsidRPr="005D109A">
        <w:rPr>
          <w:szCs w:val="24"/>
        </w:rPr>
        <w:t xml:space="preserve">)  </w:t>
      </w:r>
      <w:r w:rsidRPr="005D109A">
        <w:rPr>
          <w:szCs w:val="24"/>
        </w:rPr>
        <w:tab/>
        <w:t xml:space="preserve">99 unpaid invoices for more than 30 days </w:t>
      </w:r>
    </w:p>
    <w:p w:rsidR="006C1462" w:rsidRPr="005D109A" w:rsidRDefault="006C1462" w:rsidP="006C1462">
      <w:pPr>
        <w:jc w:val="both"/>
        <w:rPr>
          <w:szCs w:val="24"/>
        </w:rPr>
      </w:pPr>
      <w:r w:rsidRPr="005D109A">
        <w:rPr>
          <w:szCs w:val="24"/>
        </w:rPr>
        <w:t>(</w:t>
      </w:r>
      <w:proofErr w:type="gramStart"/>
      <w:r w:rsidRPr="005D109A">
        <w:rPr>
          <w:szCs w:val="24"/>
        </w:rPr>
        <w:t>bb</w:t>
      </w:r>
      <w:proofErr w:type="gramEnd"/>
      <w:r w:rsidRPr="005D109A">
        <w:rPr>
          <w:szCs w:val="24"/>
        </w:rPr>
        <w:t xml:space="preserve">) </w:t>
      </w:r>
      <w:r w:rsidRPr="005D109A">
        <w:rPr>
          <w:szCs w:val="24"/>
        </w:rPr>
        <w:tab/>
        <w:t>88</w:t>
      </w:r>
      <w:r>
        <w:rPr>
          <w:szCs w:val="24"/>
        </w:rPr>
        <w:t xml:space="preserve"> unpaid invoices for more than 6</w:t>
      </w:r>
      <w:r w:rsidRPr="005D109A">
        <w:rPr>
          <w:szCs w:val="24"/>
        </w:rPr>
        <w:t xml:space="preserve">0 days </w:t>
      </w:r>
    </w:p>
    <w:p w:rsidR="006C1462" w:rsidRPr="005D109A" w:rsidRDefault="006C1462" w:rsidP="006C1462">
      <w:pPr>
        <w:jc w:val="both"/>
        <w:rPr>
          <w:szCs w:val="24"/>
        </w:rPr>
      </w:pPr>
      <w:r w:rsidRPr="005D109A">
        <w:rPr>
          <w:szCs w:val="24"/>
        </w:rPr>
        <w:t xml:space="preserve">(cc) </w:t>
      </w:r>
      <w:r w:rsidRPr="005D109A">
        <w:rPr>
          <w:szCs w:val="24"/>
        </w:rPr>
        <w:tab/>
        <w:t>39 unpaid invoices for more than 90 days</w:t>
      </w:r>
    </w:p>
    <w:p w:rsidR="006C1462" w:rsidRPr="005D109A" w:rsidRDefault="006C1462" w:rsidP="006C1462">
      <w:pPr>
        <w:jc w:val="both"/>
        <w:rPr>
          <w:szCs w:val="24"/>
        </w:rPr>
      </w:pPr>
      <w:r w:rsidRPr="005D109A">
        <w:rPr>
          <w:szCs w:val="24"/>
        </w:rPr>
        <w:t>(</w:t>
      </w:r>
      <w:proofErr w:type="spellStart"/>
      <w:proofErr w:type="gramStart"/>
      <w:r w:rsidRPr="005D109A">
        <w:rPr>
          <w:szCs w:val="24"/>
        </w:rPr>
        <w:t>dd</w:t>
      </w:r>
      <w:proofErr w:type="spellEnd"/>
      <w:proofErr w:type="gramEnd"/>
      <w:r w:rsidRPr="005D109A">
        <w:rPr>
          <w:szCs w:val="24"/>
        </w:rPr>
        <w:t>)</w:t>
      </w:r>
      <w:r w:rsidRPr="005D109A">
        <w:rPr>
          <w:szCs w:val="24"/>
        </w:rPr>
        <w:tab/>
        <w:t>7 unpaid invoices for more than 120 days</w:t>
      </w:r>
    </w:p>
    <w:p w:rsidR="006C1462" w:rsidRPr="005D109A" w:rsidRDefault="006C1462" w:rsidP="006C1462">
      <w:pPr>
        <w:jc w:val="both"/>
        <w:rPr>
          <w:szCs w:val="24"/>
        </w:rPr>
      </w:pPr>
    </w:p>
    <w:p w:rsidR="006C1462" w:rsidRPr="005D109A" w:rsidRDefault="006C1462" w:rsidP="006C1462">
      <w:pPr>
        <w:numPr>
          <w:ilvl w:val="0"/>
          <w:numId w:val="1"/>
        </w:numPr>
        <w:ind w:left="709" w:hanging="709"/>
        <w:jc w:val="both"/>
        <w:rPr>
          <w:szCs w:val="24"/>
        </w:rPr>
      </w:pPr>
      <w:r w:rsidRPr="005D109A">
        <w:rPr>
          <w:szCs w:val="24"/>
        </w:rPr>
        <w:t>Total amount outstanding per age analysis.</w:t>
      </w:r>
    </w:p>
    <w:p w:rsidR="006C1462" w:rsidRPr="005D109A" w:rsidRDefault="006C1462" w:rsidP="006C1462">
      <w:pPr>
        <w:jc w:val="both"/>
        <w:rPr>
          <w:szCs w:val="24"/>
        </w:rPr>
      </w:pPr>
    </w:p>
    <w:tbl>
      <w:tblPr>
        <w:tblW w:w="979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701"/>
        <w:gridCol w:w="1701"/>
        <w:gridCol w:w="1476"/>
        <w:gridCol w:w="1359"/>
        <w:gridCol w:w="1843"/>
      </w:tblGrid>
      <w:tr w:rsidR="006C1462" w:rsidRPr="005D109A" w:rsidTr="00356BAE">
        <w:trPr>
          <w:trHeight w:val="255"/>
        </w:trPr>
        <w:tc>
          <w:tcPr>
            <w:tcW w:w="1712" w:type="dxa"/>
          </w:tcPr>
          <w:p w:rsidR="006C1462" w:rsidRPr="005D109A" w:rsidRDefault="006C1462" w:rsidP="00356BAE">
            <w:pPr>
              <w:rPr>
                <w:b/>
                <w:szCs w:val="24"/>
                <w:lang w:val="en-ZA"/>
              </w:rPr>
            </w:pPr>
            <w:r w:rsidRPr="005D109A">
              <w:rPr>
                <w:b/>
                <w:szCs w:val="24"/>
                <w:lang w:val="en-ZA"/>
              </w:rPr>
              <w:t>No. of days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1462" w:rsidRPr="005D109A" w:rsidRDefault="006C1462" w:rsidP="00356BAE">
            <w:pPr>
              <w:rPr>
                <w:b/>
                <w:szCs w:val="24"/>
                <w:lang w:val="en-ZA"/>
              </w:rPr>
            </w:pPr>
            <w:r w:rsidRPr="005D109A">
              <w:rPr>
                <w:b/>
                <w:szCs w:val="24"/>
                <w:lang w:val="en-ZA"/>
              </w:rPr>
              <w:t>30 days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1462" w:rsidRPr="005D109A" w:rsidRDefault="006C1462" w:rsidP="00356BAE">
            <w:pPr>
              <w:rPr>
                <w:b/>
                <w:szCs w:val="24"/>
                <w:lang w:val="en-ZA"/>
              </w:rPr>
            </w:pPr>
            <w:r w:rsidRPr="005D109A">
              <w:rPr>
                <w:b/>
                <w:szCs w:val="24"/>
                <w:lang w:val="en-ZA"/>
              </w:rPr>
              <w:t>60 days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6C1462" w:rsidRPr="005D109A" w:rsidRDefault="006C1462" w:rsidP="00356BAE">
            <w:pPr>
              <w:rPr>
                <w:b/>
                <w:szCs w:val="24"/>
                <w:lang w:val="en-ZA"/>
              </w:rPr>
            </w:pPr>
            <w:r w:rsidRPr="005D109A">
              <w:rPr>
                <w:b/>
                <w:szCs w:val="24"/>
                <w:lang w:val="en-ZA"/>
              </w:rPr>
              <w:t>90 days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6C1462" w:rsidRPr="005D109A" w:rsidRDefault="006C1462" w:rsidP="00356BAE">
            <w:pPr>
              <w:rPr>
                <w:b/>
                <w:szCs w:val="24"/>
                <w:lang w:val="en-ZA"/>
              </w:rPr>
            </w:pPr>
            <w:r w:rsidRPr="005D109A">
              <w:rPr>
                <w:b/>
                <w:szCs w:val="24"/>
                <w:lang w:val="en-ZA"/>
              </w:rPr>
              <w:t>120+ days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C1462" w:rsidRPr="005D109A" w:rsidRDefault="006C1462" w:rsidP="00356BAE">
            <w:pPr>
              <w:rPr>
                <w:b/>
                <w:szCs w:val="24"/>
                <w:lang w:val="en-ZA"/>
              </w:rPr>
            </w:pPr>
            <w:r w:rsidRPr="005D109A">
              <w:rPr>
                <w:b/>
                <w:szCs w:val="24"/>
                <w:lang w:val="en-ZA"/>
              </w:rPr>
              <w:t>Totals</w:t>
            </w:r>
          </w:p>
        </w:tc>
      </w:tr>
      <w:tr w:rsidR="006C1462" w:rsidRPr="005D109A" w:rsidTr="00356BAE">
        <w:trPr>
          <w:trHeight w:val="255"/>
        </w:trPr>
        <w:tc>
          <w:tcPr>
            <w:tcW w:w="1712" w:type="dxa"/>
          </w:tcPr>
          <w:p w:rsidR="006C1462" w:rsidRPr="005D109A" w:rsidRDefault="006C1462" w:rsidP="00356BAE">
            <w:pPr>
              <w:rPr>
                <w:b/>
                <w:szCs w:val="24"/>
                <w:lang w:val="en-ZA"/>
              </w:rPr>
            </w:pPr>
            <w:r w:rsidRPr="005D109A">
              <w:rPr>
                <w:b/>
                <w:szCs w:val="24"/>
                <w:lang w:val="en-ZA"/>
              </w:rPr>
              <w:t>No. of outstanding invoices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1462" w:rsidRPr="005D109A" w:rsidRDefault="006C1462" w:rsidP="00356BAE">
            <w:pPr>
              <w:jc w:val="center"/>
              <w:rPr>
                <w:szCs w:val="24"/>
                <w:lang w:val="en-ZA"/>
              </w:rPr>
            </w:pPr>
            <w:r w:rsidRPr="005D109A">
              <w:rPr>
                <w:szCs w:val="24"/>
                <w:lang w:val="en-ZA"/>
              </w:rPr>
              <w:t xml:space="preserve">99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1462" w:rsidRPr="005D109A" w:rsidRDefault="006C1462" w:rsidP="00356BAE">
            <w:pPr>
              <w:jc w:val="center"/>
              <w:rPr>
                <w:szCs w:val="24"/>
                <w:lang w:val="en-ZA"/>
              </w:rPr>
            </w:pPr>
            <w:r w:rsidRPr="005D109A">
              <w:rPr>
                <w:szCs w:val="24"/>
                <w:lang w:val="en-ZA"/>
              </w:rPr>
              <w:t>88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6C1462" w:rsidRPr="005D109A" w:rsidRDefault="006C1462" w:rsidP="00356BAE">
            <w:pPr>
              <w:jc w:val="center"/>
              <w:rPr>
                <w:szCs w:val="24"/>
                <w:lang w:val="en-ZA"/>
              </w:rPr>
            </w:pPr>
            <w:r w:rsidRPr="005D109A">
              <w:rPr>
                <w:szCs w:val="24"/>
                <w:lang w:val="en-ZA"/>
              </w:rPr>
              <w:t>39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6C1462" w:rsidRPr="005D109A" w:rsidRDefault="006C1462" w:rsidP="00356BAE">
            <w:pPr>
              <w:jc w:val="center"/>
              <w:rPr>
                <w:szCs w:val="24"/>
                <w:lang w:val="en-ZA"/>
              </w:rPr>
            </w:pPr>
            <w:r w:rsidRPr="005D109A">
              <w:rPr>
                <w:szCs w:val="24"/>
                <w:lang w:val="en-ZA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C1462" w:rsidRPr="005D109A" w:rsidRDefault="006C1462" w:rsidP="00356BAE">
            <w:pPr>
              <w:jc w:val="center"/>
              <w:rPr>
                <w:szCs w:val="24"/>
                <w:lang w:val="en-ZA"/>
              </w:rPr>
            </w:pPr>
            <w:r w:rsidRPr="005D109A">
              <w:rPr>
                <w:szCs w:val="24"/>
                <w:lang w:val="en-ZA"/>
              </w:rPr>
              <w:t>223</w:t>
            </w:r>
          </w:p>
        </w:tc>
      </w:tr>
      <w:tr w:rsidR="006C1462" w:rsidRPr="005D109A" w:rsidTr="00356BAE">
        <w:trPr>
          <w:trHeight w:val="468"/>
        </w:trPr>
        <w:tc>
          <w:tcPr>
            <w:tcW w:w="1712" w:type="dxa"/>
          </w:tcPr>
          <w:p w:rsidR="006C1462" w:rsidRPr="005D109A" w:rsidRDefault="006C1462" w:rsidP="00356BAE">
            <w:pPr>
              <w:rPr>
                <w:b/>
                <w:szCs w:val="24"/>
                <w:lang w:val="en-ZA"/>
              </w:rPr>
            </w:pPr>
          </w:p>
          <w:p w:rsidR="006C1462" w:rsidRPr="005D109A" w:rsidRDefault="006C1462" w:rsidP="00356BAE">
            <w:pPr>
              <w:rPr>
                <w:b/>
                <w:szCs w:val="24"/>
                <w:lang w:val="en-ZA"/>
              </w:rPr>
            </w:pPr>
            <w:r w:rsidRPr="005D109A">
              <w:rPr>
                <w:b/>
                <w:szCs w:val="24"/>
                <w:lang w:val="en-ZA"/>
              </w:rPr>
              <w:t>Total amount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C1462" w:rsidRPr="005D109A" w:rsidRDefault="006C1462" w:rsidP="00356BAE">
            <w:pPr>
              <w:jc w:val="center"/>
              <w:rPr>
                <w:szCs w:val="24"/>
                <w:lang w:val="en-ZA"/>
              </w:rPr>
            </w:pPr>
            <w:r w:rsidRPr="005D109A">
              <w:rPr>
                <w:szCs w:val="24"/>
                <w:lang w:val="en-ZA"/>
              </w:rPr>
              <w:t>22 ,833,717.80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C1462" w:rsidRPr="005D109A" w:rsidRDefault="006C1462" w:rsidP="00356BAE">
            <w:pPr>
              <w:jc w:val="center"/>
              <w:rPr>
                <w:szCs w:val="24"/>
                <w:lang w:val="en-ZA"/>
              </w:rPr>
            </w:pPr>
            <w:r w:rsidRPr="005D109A">
              <w:rPr>
                <w:szCs w:val="24"/>
                <w:lang w:val="en-ZA"/>
              </w:rPr>
              <w:t>11,460,999. 09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6C1462" w:rsidRPr="005D109A" w:rsidRDefault="006C1462" w:rsidP="00356BAE">
            <w:pPr>
              <w:jc w:val="center"/>
              <w:rPr>
                <w:szCs w:val="24"/>
                <w:lang w:val="en-ZA"/>
              </w:rPr>
            </w:pPr>
            <w:r w:rsidRPr="005D109A">
              <w:rPr>
                <w:szCs w:val="24"/>
                <w:lang w:val="en-ZA"/>
              </w:rPr>
              <w:t>9,875,567.16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6C1462" w:rsidRPr="005D109A" w:rsidRDefault="006C1462" w:rsidP="00356BAE">
            <w:pPr>
              <w:jc w:val="center"/>
              <w:rPr>
                <w:szCs w:val="24"/>
                <w:lang w:val="en-ZA"/>
              </w:rPr>
            </w:pPr>
            <w:r w:rsidRPr="005D109A">
              <w:rPr>
                <w:szCs w:val="24"/>
                <w:lang w:val="en-ZA"/>
              </w:rPr>
              <w:t>544, 882.13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C1462" w:rsidRPr="005D109A" w:rsidRDefault="006C1462" w:rsidP="00356BAE">
            <w:pPr>
              <w:jc w:val="center"/>
              <w:rPr>
                <w:szCs w:val="24"/>
                <w:lang w:val="en-ZA"/>
              </w:rPr>
            </w:pPr>
            <w:r w:rsidRPr="005D109A">
              <w:rPr>
                <w:szCs w:val="24"/>
                <w:lang w:val="en-ZA"/>
              </w:rPr>
              <w:t>44, 715, 166.18</w:t>
            </w:r>
          </w:p>
        </w:tc>
      </w:tr>
    </w:tbl>
    <w:p w:rsidR="006C1462" w:rsidRPr="005D109A" w:rsidRDefault="006C1462" w:rsidP="006C1462">
      <w:pPr>
        <w:ind w:left="1440"/>
        <w:jc w:val="both"/>
        <w:rPr>
          <w:szCs w:val="24"/>
        </w:rPr>
      </w:pPr>
    </w:p>
    <w:p w:rsidR="006C1462" w:rsidRPr="00C36F27" w:rsidRDefault="006C1462" w:rsidP="006C1462">
      <w:pPr>
        <w:jc w:val="both"/>
        <w:rPr>
          <w:szCs w:val="24"/>
        </w:rPr>
      </w:pPr>
      <w:r w:rsidRPr="00C36F27">
        <w:rPr>
          <w:szCs w:val="24"/>
        </w:rPr>
        <w:t xml:space="preserve">Refer to the attached annexure. </w:t>
      </w:r>
    </w:p>
    <w:p w:rsidR="006C1462" w:rsidRDefault="006C1462" w:rsidP="006C1462">
      <w:pPr>
        <w:ind w:left="1440"/>
        <w:jc w:val="both"/>
        <w:rPr>
          <w:rFonts w:ascii="Arial" w:hAnsi="Arial"/>
          <w:sz w:val="20"/>
        </w:rPr>
      </w:pPr>
    </w:p>
    <w:p w:rsidR="006C1462" w:rsidRDefault="006C1462" w:rsidP="006C1462">
      <w:pPr>
        <w:ind w:left="1440"/>
        <w:jc w:val="both"/>
        <w:rPr>
          <w:rFonts w:ascii="Arial" w:hAnsi="Arial"/>
          <w:sz w:val="20"/>
        </w:rPr>
      </w:pPr>
    </w:p>
    <w:p w:rsidR="006C1462" w:rsidRDefault="006C1462" w:rsidP="006C146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  <w:r>
        <w:rPr>
          <w:snapToGrid w:val="0"/>
        </w:rPr>
        <w:lastRenderedPageBreak/>
        <w:t xml:space="preserve">    UNQUOTE</w:t>
      </w:r>
    </w:p>
    <w:p w:rsidR="00B45063" w:rsidRDefault="00B45063"/>
    <w:sectPr w:rsidR="00B4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12573"/>
    <w:multiLevelType w:val="hybridMultilevel"/>
    <w:tmpl w:val="C88C4AF2"/>
    <w:lvl w:ilvl="0" w:tplc="22B60ADE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6A73"/>
    <w:multiLevelType w:val="hybridMultilevel"/>
    <w:tmpl w:val="29921E84"/>
    <w:lvl w:ilvl="0" w:tplc="0AF482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2"/>
    <w:rsid w:val="00346A8C"/>
    <w:rsid w:val="006C1462"/>
    <w:rsid w:val="00B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884B0-ACC4-4A1C-9FD5-29CEC0CB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6C1462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C1462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462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6C1462"/>
    <w:rPr>
      <w:rFonts w:ascii="Times New Roman" w:eastAsia="Times New Roman" w:hAnsi="Times New Roman" w:cs="Times New Roman"/>
      <w:b/>
      <w:sz w:val="24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Maphopha, MI Mr : Office of the Minister, DIRCO</dc:creator>
  <cp:keywords/>
  <dc:description/>
  <cp:lastModifiedBy>Maphopha, MI Mr : Office of the Minister, DIRCO</cp:lastModifiedBy>
  <cp:revision>2</cp:revision>
  <dcterms:created xsi:type="dcterms:W3CDTF">2017-12-18T09:02:00Z</dcterms:created>
  <dcterms:modified xsi:type="dcterms:W3CDTF">2017-12-18T09:06:00Z</dcterms:modified>
</cp:coreProperties>
</file>