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5B2267"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278569"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2C0ED9" w:rsidRPr="002C0ED9" w:rsidRDefault="002C0ED9" w:rsidP="002C0ED9">
      <w:pPr>
        <w:spacing w:before="100" w:beforeAutospacing="1" w:after="100" w:afterAutospacing="1"/>
        <w:ind w:left="851" w:hanging="851"/>
        <w:rPr>
          <w:rFonts w:ascii="Arial" w:hAnsi="Arial" w:cs="Arial"/>
          <w:b/>
          <w:lang w:val="en-ZA"/>
        </w:rPr>
      </w:pPr>
      <w:r w:rsidRPr="002C0ED9">
        <w:rPr>
          <w:rFonts w:ascii="Arial" w:hAnsi="Arial" w:cs="Arial"/>
          <w:b/>
        </w:rPr>
        <w:t>3566.</w:t>
      </w:r>
      <w:r w:rsidRPr="002C0ED9">
        <w:rPr>
          <w:rFonts w:ascii="Arial" w:hAnsi="Arial" w:cs="Arial"/>
          <w:b/>
        </w:rPr>
        <w:tab/>
        <w:t>Ms S V Kalyan (DA) to ask the Minister of Defence and Military Veterans:</w:t>
      </w:r>
    </w:p>
    <w:p w:rsidR="002C0ED9" w:rsidRPr="002C0ED9" w:rsidRDefault="002C0ED9" w:rsidP="002C0ED9">
      <w:pPr>
        <w:spacing w:before="100" w:beforeAutospacing="1" w:after="100" w:afterAutospacing="1"/>
        <w:ind w:left="851"/>
        <w:jc w:val="both"/>
        <w:rPr>
          <w:rFonts w:ascii="Arial" w:hAnsi="Arial" w:cs="Arial"/>
        </w:rPr>
      </w:pPr>
      <w:r w:rsidRPr="002C0ED9">
        <w:rPr>
          <w:rFonts w:ascii="Arial" w:hAnsi="Arial" w:cs="Arial"/>
        </w:rPr>
        <w:t>(a) What is the total number of supplier invoices that currently remain unpaid by (i) her department and (ii) each entity reporting to her for more than (aa) 30 days, (bb) 60 days, (cc) 90 days and (dd) 120 days and (b) what is the total amount outstanding in each case?</w:t>
      </w:r>
      <w:r w:rsidRPr="002C0ED9">
        <w:rPr>
          <w:rFonts w:ascii="Arial" w:hAnsi="Arial" w:cs="Arial"/>
        </w:rPr>
        <w:tab/>
      </w:r>
      <w:r w:rsidRPr="002C0ED9">
        <w:rPr>
          <w:rFonts w:ascii="Arial" w:hAnsi="Arial" w:cs="Arial"/>
        </w:rPr>
        <w:tab/>
      </w:r>
      <w:r w:rsidRPr="002C0ED9">
        <w:rPr>
          <w:rFonts w:ascii="Arial" w:hAnsi="Arial" w:cs="Arial"/>
        </w:rPr>
        <w:tab/>
      </w:r>
      <w:r w:rsidRPr="002C0ED9">
        <w:rPr>
          <w:rFonts w:ascii="Arial" w:hAnsi="Arial" w:cs="Arial"/>
        </w:rPr>
        <w:tab/>
      </w:r>
      <w:r w:rsidRPr="002C0ED9">
        <w:rPr>
          <w:rFonts w:ascii="Arial" w:hAnsi="Arial" w:cs="Arial"/>
        </w:rPr>
        <w:tab/>
      </w:r>
      <w:r w:rsidRPr="002C0ED9">
        <w:rPr>
          <w:rFonts w:ascii="Arial" w:hAnsi="Arial" w:cs="Arial"/>
        </w:rPr>
        <w:tab/>
      </w:r>
      <w:r w:rsidRPr="002C0ED9">
        <w:rPr>
          <w:rFonts w:ascii="Arial" w:hAnsi="Arial" w:cs="Arial"/>
        </w:rPr>
        <w:tab/>
      </w:r>
      <w:r w:rsidRPr="002C0ED9">
        <w:rPr>
          <w:rFonts w:ascii="Arial" w:hAnsi="Arial" w:cs="Arial"/>
        </w:rPr>
        <w:tab/>
      </w:r>
      <w:r w:rsidRPr="002C0ED9">
        <w:rPr>
          <w:rFonts w:ascii="Arial" w:hAnsi="Arial" w:cs="Arial"/>
        </w:rPr>
        <w:tab/>
        <w:t>NW3994E</w:t>
      </w:r>
    </w:p>
    <w:p w:rsidR="008D1485" w:rsidRDefault="008D1485" w:rsidP="003B2283">
      <w:pPr>
        <w:tabs>
          <w:tab w:val="left" w:pos="3420"/>
          <w:tab w:val="left" w:pos="5314"/>
        </w:tabs>
        <w:rPr>
          <w:rFonts w:ascii="Arial" w:hAnsi="Arial" w:cs="Arial"/>
          <w:b/>
          <w:lang w:val="en-ZA"/>
        </w:rPr>
      </w:pPr>
      <w:r w:rsidRPr="009E0E3F">
        <w:rPr>
          <w:rFonts w:ascii="Arial" w:hAnsi="Arial" w:cs="Arial"/>
          <w:b/>
          <w:lang w:val="en-ZA"/>
        </w:rPr>
        <w:t>REPLY</w:t>
      </w:r>
      <w:r w:rsidR="003B2283">
        <w:rPr>
          <w:rFonts w:ascii="Arial" w:hAnsi="Arial" w:cs="Arial"/>
          <w:b/>
          <w:lang w:val="en-ZA"/>
        </w:rPr>
        <w:tab/>
      </w:r>
    </w:p>
    <w:p w:rsidR="008D1485" w:rsidRPr="008D1485" w:rsidRDefault="008D1485" w:rsidP="008D1485">
      <w:pPr>
        <w:rPr>
          <w:rFonts w:ascii="Arial" w:hAnsi="Arial" w:cs="Arial"/>
          <w:b/>
          <w:u w:val="single"/>
          <w:lang w:val="en-ZA"/>
        </w:rPr>
      </w:pPr>
    </w:p>
    <w:p w:rsidR="008D1485" w:rsidRDefault="008D1485" w:rsidP="008D1485">
      <w:pPr>
        <w:rPr>
          <w:rFonts w:ascii="Arial" w:hAnsi="Arial" w:cs="Arial"/>
          <w:b/>
          <w:u w:val="single"/>
        </w:rPr>
      </w:pPr>
      <w:r w:rsidRPr="008D1485">
        <w:rPr>
          <w:rFonts w:ascii="Arial" w:hAnsi="Arial" w:cs="Arial"/>
          <w:b/>
          <w:u w:val="single"/>
        </w:rPr>
        <w:t>DEPARTMENT OF MILITARY VETERANS</w:t>
      </w:r>
    </w:p>
    <w:p w:rsidR="008D1485" w:rsidRPr="008D1485" w:rsidRDefault="008D1485" w:rsidP="008D1485">
      <w:pPr>
        <w:rPr>
          <w:rFonts w:ascii="Arial" w:hAnsi="Arial" w:cs="Arial"/>
          <w:u w:val="single"/>
        </w:rPr>
      </w:pPr>
    </w:p>
    <w:p w:rsidR="008D1485" w:rsidRPr="0000693E" w:rsidRDefault="008D1485" w:rsidP="008D1485">
      <w:pPr>
        <w:rPr>
          <w:rFonts w:ascii="Arial" w:hAnsi="Arial" w:cs="Arial"/>
        </w:rPr>
      </w:pPr>
      <w:r w:rsidRPr="0000693E">
        <w:rPr>
          <w:rFonts w:ascii="Arial" w:hAnsi="Arial" w:cs="Arial"/>
        </w:rPr>
        <w:t xml:space="preserve">DMV strives to pay suppliers within 30 days. There was no recorded outstanding payment to SMMEs as at 31 October 2017. However, for well established companies, there is still a challenge with processing some of the invoices due to the following challenges at DMV: </w:t>
      </w:r>
    </w:p>
    <w:p w:rsidR="008D1485" w:rsidRPr="0000693E" w:rsidRDefault="008D1485" w:rsidP="008D1485">
      <w:pPr>
        <w:numPr>
          <w:ilvl w:val="0"/>
          <w:numId w:val="41"/>
        </w:numPr>
        <w:rPr>
          <w:rFonts w:ascii="Arial" w:hAnsi="Arial" w:cs="Arial"/>
        </w:rPr>
      </w:pPr>
      <w:r w:rsidRPr="0000693E">
        <w:rPr>
          <w:rFonts w:ascii="Arial" w:hAnsi="Arial" w:cs="Arial"/>
        </w:rPr>
        <w:t>DMV is not yet using LOGIS (Logical Information System)</w:t>
      </w:r>
    </w:p>
    <w:p w:rsidR="008D1485" w:rsidRPr="0000693E" w:rsidRDefault="008D1485" w:rsidP="008D1485">
      <w:pPr>
        <w:numPr>
          <w:ilvl w:val="0"/>
          <w:numId w:val="41"/>
        </w:numPr>
        <w:rPr>
          <w:rFonts w:ascii="Arial" w:hAnsi="Arial" w:cs="Arial"/>
        </w:rPr>
      </w:pPr>
      <w:r w:rsidRPr="0000693E">
        <w:rPr>
          <w:rFonts w:ascii="Arial" w:hAnsi="Arial" w:cs="Arial"/>
        </w:rPr>
        <w:t>Lack of a computerized system leads to lack of proper tracking system</w:t>
      </w:r>
    </w:p>
    <w:p w:rsidR="008D1485" w:rsidRPr="0000693E" w:rsidRDefault="008D1485" w:rsidP="008D1485">
      <w:pPr>
        <w:numPr>
          <w:ilvl w:val="0"/>
          <w:numId w:val="41"/>
        </w:numPr>
        <w:rPr>
          <w:rFonts w:ascii="Arial" w:hAnsi="Arial" w:cs="Arial"/>
        </w:rPr>
      </w:pPr>
      <w:r w:rsidRPr="0000693E">
        <w:rPr>
          <w:rFonts w:ascii="Arial" w:hAnsi="Arial" w:cs="Arial"/>
        </w:rPr>
        <w:t>For travel related invoices, approvers are often out office leading to delays in the approval of invoices for payment (linked to manual approval processes).</w:t>
      </w:r>
    </w:p>
    <w:p w:rsidR="008D1485" w:rsidRPr="0000693E" w:rsidRDefault="008D1485" w:rsidP="008D1485">
      <w:pPr>
        <w:numPr>
          <w:ilvl w:val="0"/>
          <w:numId w:val="41"/>
        </w:numPr>
        <w:rPr>
          <w:rFonts w:ascii="Arial" w:hAnsi="Arial" w:cs="Arial"/>
        </w:rPr>
      </w:pPr>
      <w:r w:rsidRPr="0000693E">
        <w:rPr>
          <w:rFonts w:ascii="Arial" w:hAnsi="Arial" w:cs="Arial"/>
        </w:rPr>
        <w:t>Lack of capacity to manage the volume of invoices related to Travel</w:t>
      </w:r>
    </w:p>
    <w:p w:rsidR="008D1485" w:rsidRPr="0000693E" w:rsidRDefault="008D1485" w:rsidP="008D1485">
      <w:pPr>
        <w:rPr>
          <w:rFonts w:ascii="Arial" w:hAnsi="Arial" w:cs="Arial"/>
        </w:rPr>
      </w:pPr>
    </w:p>
    <w:p w:rsidR="008D1485" w:rsidRPr="0000693E" w:rsidRDefault="008D1485" w:rsidP="008D1485">
      <w:pPr>
        <w:rPr>
          <w:rFonts w:ascii="Arial" w:hAnsi="Arial" w:cs="Arial"/>
        </w:rPr>
      </w:pPr>
      <w:r w:rsidRPr="0000693E">
        <w:rPr>
          <w:rFonts w:ascii="Arial" w:hAnsi="Arial" w:cs="Arial"/>
        </w:rPr>
        <w:t xml:space="preserve">As per the table below </w:t>
      </w:r>
      <w:r w:rsidRPr="0000693E">
        <w:rPr>
          <w:rFonts w:ascii="Arial" w:hAnsi="Arial" w:cs="Arial"/>
          <w:b/>
          <w:i/>
        </w:rPr>
        <w:t>(DMV UNPAID INVOICES AS AT 31 OCTOBER 2017)</w:t>
      </w:r>
      <w:r w:rsidRPr="0000693E">
        <w:rPr>
          <w:rFonts w:ascii="Arial" w:hAnsi="Arial" w:cs="Arial"/>
        </w:rPr>
        <w:t xml:space="preserve">, challenging accounts are Vodacom, Travel with Flair and SITA. The challenge is historical backlog, however, the Department is working hard to resolve these. </w:t>
      </w:r>
    </w:p>
    <w:p w:rsidR="008D1485" w:rsidRPr="0087349D" w:rsidRDefault="008D1485" w:rsidP="008D1485">
      <w:pPr>
        <w:rPr>
          <w:rFonts w:ascii="Arial" w:hAnsi="Arial" w:cs="Arial"/>
        </w:rPr>
      </w:pPr>
    </w:p>
    <w:p w:rsidR="008D1485" w:rsidRPr="0087349D" w:rsidRDefault="008D1485" w:rsidP="008D1485">
      <w:pPr>
        <w:rPr>
          <w:rFonts w:ascii="Arial" w:hAnsi="Arial" w:cs="Arial"/>
        </w:rPr>
      </w:pPr>
      <w:r w:rsidRPr="0087349D">
        <w:rPr>
          <w:rFonts w:ascii="Arial" w:hAnsi="Arial" w:cs="Arial"/>
          <w:noProof/>
          <w:lang w:val="en-US"/>
        </w:rPr>
        <w:lastRenderedPageBreak/>
        <w:drawing>
          <wp:inline distT="0" distB="0" distL="0" distR="0">
            <wp:extent cx="5010150" cy="1762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10150" cy="1762125"/>
                    </a:xfrm>
                    <a:prstGeom prst="rect">
                      <a:avLst/>
                    </a:prstGeom>
                    <a:noFill/>
                    <a:ln>
                      <a:noFill/>
                    </a:ln>
                  </pic:spPr>
                </pic:pic>
              </a:graphicData>
            </a:graphic>
          </wp:inline>
        </w:drawing>
      </w:r>
    </w:p>
    <w:p w:rsidR="008D1485" w:rsidRPr="0087349D" w:rsidRDefault="008D1485" w:rsidP="008D1485">
      <w:pPr>
        <w:rPr>
          <w:rFonts w:ascii="Arial" w:hAnsi="Arial" w:cs="Arial"/>
        </w:rPr>
      </w:pPr>
    </w:p>
    <w:p w:rsidR="008D1485" w:rsidRPr="0087349D" w:rsidRDefault="008D1485" w:rsidP="008D1485">
      <w:pPr>
        <w:rPr>
          <w:rFonts w:ascii="Arial" w:hAnsi="Arial" w:cs="Arial"/>
        </w:rPr>
      </w:pPr>
    </w:p>
    <w:p w:rsidR="008D1485" w:rsidRPr="0087349D" w:rsidRDefault="008D1485" w:rsidP="008D1485">
      <w:pPr>
        <w:rPr>
          <w:rFonts w:ascii="Arial" w:hAnsi="Arial" w:cs="Arial"/>
        </w:rPr>
      </w:pPr>
      <w:r w:rsidRPr="0087349D">
        <w:rPr>
          <w:rFonts w:ascii="Arial" w:hAnsi="Arial" w:cs="Arial"/>
        </w:rPr>
        <w:t>Furthermore, as at 30 September 2017, DMV account with other Government Departments had an outstanding balance of R60.5m mainly related provisioning of healthcare Support by SAHMS (R50.5m) as well as the provisioning of Housing by Human Settlement (R10m).</w:t>
      </w:r>
    </w:p>
    <w:p w:rsidR="008D1485" w:rsidRPr="0087349D" w:rsidRDefault="008D1485" w:rsidP="008D1485">
      <w:pPr>
        <w:rPr>
          <w:rFonts w:ascii="Arial" w:hAnsi="Arial" w:cs="Arial"/>
        </w:rPr>
      </w:pPr>
    </w:p>
    <w:p w:rsidR="008D1485" w:rsidRDefault="008D1485" w:rsidP="008D1485">
      <w:r w:rsidRPr="0087349D">
        <w:rPr>
          <w:rFonts w:ascii="Arial" w:hAnsi="Arial" w:cs="Arial"/>
          <w:noProof/>
          <w:lang w:val="en-US"/>
        </w:rPr>
        <w:drawing>
          <wp:inline distT="0" distB="0" distL="0" distR="0">
            <wp:extent cx="500062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0625" cy="2505075"/>
                    </a:xfrm>
                    <a:prstGeom prst="rect">
                      <a:avLst/>
                    </a:prstGeom>
                    <a:noFill/>
                    <a:ln>
                      <a:noFill/>
                    </a:ln>
                  </pic:spPr>
                </pic:pic>
              </a:graphicData>
            </a:graphic>
          </wp:inline>
        </w:drawing>
      </w:r>
    </w:p>
    <w:p w:rsidR="008D1485" w:rsidRDefault="008D1485" w:rsidP="008D1485"/>
    <w:p w:rsidR="008D1485" w:rsidRPr="00CA47B2" w:rsidRDefault="008D1485" w:rsidP="008D1485"/>
    <w:p w:rsidR="00BE40E1" w:rsidRDefault="003B2283" w:rsidP="00484890">
      <w:pPr>
        <w:spacing w:before="100" w:beforeAutospacing="1" w:after="100" w:afterAutospacing="1"/>
        <w:ind w:left="851" w:hanging="851"/>
        <w:rPr>
          <w:rFonts w:ascii="Arial" w:hAnsi="Arial" w:cs="Arial"/>
          <w:b/>
          <w:u w:val="single"/>
        </w:rPr>
      </w:pPr>
      <w:r w:rsidRPr="003B2283">
        <w:rPr>
          <w:rFonts w:ascii="Arial" w:hAnsi="Arial" w:cs="Arial"/>
          <w:b/>
          <w:u w:val="single"/>
        </w:rPr>
        <w:t>DEPARTMENT OF DEFENCE</w:t>
      </w:r>
    </w:p>
    <w:p w:rsidR="003B2283" w:rsidRDefault="003B2283" w:rsidP="00484890">
      <w:pPr>
        <w:spacing w:before="100" w:beforeAutospacing="1" w:after="100" w:afterAutospacing="1"/>
        <w:ind w:left="851" w:hanging="851"/>
        <w:rPr>
          <w:rFonts w:ascii="Arial" w:hAnsi="Arial" w:cs="Arial"/>
          <w:b/>
          <w:u w:val="single"/>
        </w:rPr>
      </w:pPr>
    </w:p>
    <w:p w:rsidR="003B2283" w:rsidRDefault="003B2283" w:rsidP="003B2283">
      <w:pPr>
        <w:pStyle w:val="BodyText"/>
        <w:numPr>
          <w:ilvl w:val="0"/>
          <w:numId w:val="42"/>
        </w:numPr>
        <w:tabs>
          <w:tab w:val="left" w:pos="567"/>
        </w:tabs>
        <w:spacing w:after="0"/>
        <w:jc w:val="both"/>
        <w:rPr>
          <w:rFonts w:ascii="Arial" w:hAnsi="Arial" w:cs="Arial"/>
          <w:sz w:val="22"/>
          <w:szCs w:val="22"/>
          <w:lang w:val="en-ZA"/>
        </w:rPr>
      </w:pPr>
      <w:r>
        <w:rPr>
          <w:rFonts w:ascii="Arial" w:hAnsi="Arial" w:cs="Arial"/>
          <w:szCs w:val="22"/>
          <w:lang w:val="en-ZA"/>
        </w:rPr>
        <w:t>The response for the Department of Defence is as follow:</w:t>
      </w:r>
    </w:p>
    <w:p w:rsidR="003B2283" w:rsidRDefault="003B2283" w:rsidP="003B2283">
      <w:pPr>
        <w:pStyle w:val="BodyText"/>
        <w:tabs>
          <w:tab w:val="left" w:pos="426"/>
        </w:tabs>
        <w:spacing w:after="0"/>
        <w:ind w:left="720"/>
        <w:jc w:val="both"/>
        <w:rPr>
          <w:rFonts w:ascii="Arial" w:hAnsi="Arial" w:cs="Arial"/>
          <w:szCs w:val="22"/>
          <w:lang w:val="en-ZA"/>
        </w:rPr>
      </w:pPr>
    </w:p>
    <w:p w:rsidR="003B2283" w:rsidRDefault="003B2283" w:rsidP="003B2283">
      <w:pPr>
        <w:pStyle w:val="BodyText"/>
        <w:numPr>
          <w:ilvl w:val="0"/>
          <w:numId w:val="43"/>
        </w:numPr>
        <w:tabs>
          <w:tab w:val="left" w:pos="426"/>
          <w:tab w:val="left" w:pos="1080"/>
        </w:tabs>
        <w:spacing w:after="0"/>
        <w:ind w:left="540" w:firstLine="0"/>
        <w:jc w:val="both"/>
        <w:rPr>
          <w:rFonts w:ascii="Arial" w:hAnsi="Arial" w:cs="Arial"/>
          <w:szCs w:val="22"/>
          <w:lang w:val="en-ZA"/>
        </w:rPr>
      </w:pPr>
      <w:r>
        <w:rPr>
          <w:rFonts w:ascii="Arial" w:hAnsi="Arial" w:cs="Arial"/>
          <w:szCs w:val="22"/>
          <w:lang w:val="en-ZA"/>
        </w:rPr>
        <w:t>The number of verified and legitimate invoices that are currently (Report date:</w:t>
      </w:r>
      <w:r w:rsidR="000A6BEB">
        <w:rPr>
          <w:rFonts w:ascii="Arial" w:hAnsi="Arial" w:cs="Arial"/>
          <w:szCs w:val="22"/>
          <w:lang w:val="en-ZA"/>
        </w:rPr>
        <w:t xml:space="preserve">  </w:t>
      </w:r>
      <w:r>
        <w:rPr>
          <w:rFonts w:ascii="Arial" w:hAnsi="Arial" w:cs="Arial"/>
          <w:szCs w:val="22"/>
          <w:lang w:val="en-ZA"/>
        </w:rPr>
        <w:t>8 Nov 2017) in possession and that remain unpaid w</w:t>
      </w:r>
      <w:r w:rsidR="000A6BEB">
        <w:rPr>
          <w:rFonts w:ascii="Arial" w:hAnsi="Arial" w:cs="Arial"/>
          <w:szCs w:val="22"/>
          <w:lang w:val="en-ZA"/>
        </w:rPr>
        <w:t>ithin the Department of Defence</w:t>
      </w:r>
      <w:bookmarkStart w:id="0" w:name="_GoBack"/>
      <w:bookmarkEnd w:id="0"/>
      <w:r>
        <w:rPr>
          <w:rFonts w:ascii="Arial" w:hAnsi="Arial" w:cs="Arial"/>
          <w:szCs w:val="22"/>
          <w:lang w:val="en-ZA"/>
        </w:rPr>
        <w:t xml:space="preserve"> are:</w:t>
      </w:r>
    </w:p>
    <w:p w:rsidR="003B2283" w:rsidRDefault="003B2283" w:rsidP="003B2283">
      <w:pPr>
        <w:pStyle w:val="BodyText"/>
        <w:tabs>
          <w:tab w:val="left" w:pos="426"/>
          <w:tab w:val="left" w:pos="1080"/>
        </w:tabs>
        <w:spacing w:after="0"/>
        <w:jc w:val="both"/>
        <w:rPr>
          <w:rFonts w:ascii="Arial" w:hAnsi="Arial" w:cs="Arial"/>
          <w:szCs w:val="22"/>
          <w:lang w:val="en-ZA"/>
        </w:rPr>
      </w:pPr>
    </w:p>
    <w:p w:rsidR="003B2283" w:rsidRDefault="003B2283" w:rsidP="003B2283">
      <w:pPr>
        <w:pStyle w:val="BodyText"/>
        <w:tabs>
          <w:tab w:val="left" w:pos="426"/>
          <w:tab w:val="left" w:pos="1080"/>
        </w:tabs>
        <w:spacing w:after="0"/>
        <w:jc w:val="both"/>
        <w:rPr>
          <w:rFonts w:ascii="Arial" w:hAnsi="Arial" w:cs="Arial"/>
          <w:szCs w:val="22"/>
          <w:lang w:val="en-ZA"/>
        </w:rPr>
      </w:pPr>
    </w:p>
    <w:p w:rsidR="003B2283" w:rsidRDefault="003B2283" w:rsidP="003B2283">
      <w:pPr>
        <w:pStyle w:val="BodyText"/>
        <w:tabs>
          <w:tab w:val="left" w:pos="426"/>
          <w:tab w:val="left" w:pos="1080"/>
        </w:tabs>
        <w:spacing w:after="0"/>
        <w:jc w:val="both"/>
        <w:rPr>
          <w:rFonts w:ascii="Arial" w:hAnsi="Arial" w:cs="Arial"/>
          <w:szCs w:val="22"/>
          <w:lang w:val="en-ZA"/>
        </w:rPr>
      </w:pPr>
    </w:p>
    <w:p w:rsidR="003B2283" w:rsidRDefault="003B2283" w:rsidP="003B2283">
      <w:pPr>
        <w:pStyle w:val="BodyText"/>
        <w:tabs>
          <w:tab w:val="left" w:pos="426"/>
          <w:tab w:val="left" w:pos="1080"/>
        </w:tabs>
        <w:spacing w:after="0"/>
        <w:jc w:val="both"/>
        <w:rPr>
          <w:rFonts w:ascii="Arial" w:hAnsi="Arial" w:cs="Arial"/>
          <w:szCs w:val="22"/>
          <w:lang w:val="en-ZA"/>
        </w:rPr>
      </w:pPr>
    </w:p>
    <w:p w:rsidR="003B2283" w:rsidRDefault="003B2283" w:rsidP="003B2283">
      <w:pPr>
        <w:pStyle w:val="BodyText"/>
        <w:tabs>
          <w:tab w:val="left" w:pos="426"/>
          <w:tab w:val="left" w:pos="1080"/>
        </w:tabs>
        <w:spacing w:after="0"/>
        <w:jc w:val="both"/>
        <w:rPr>
          <w:rFonts w:ascii="Arial" w:hAnsi="Arial" w:cs="Arial"/>
          <w:szCs w:val="22"/>
          <w:lang w:val="en-ZA"/>
        </w:rPr>
      </w:pPr>
    </w:p>
    <w:p w:rsidR="003B2283" w:rsidRDefault="003B2283" w:rsidP="003B2283">
      <w:pPr>
        <w:pStyle w:val="BodyText"/>
        <w:tabs>
          <w:tab w:val="left" w:pos="426"/>
          <w:tab w:val="left" w:pos="1080"/>
        </w:tabs>
        <w:spacing w:after="0"/>
        <w:jc w:val="both"/>
        <w:rPr>
          <w:rFonts w:ascii="Arial" w:hAnsi="Arial" w:cs="Arial"/>
          <w:szCs w:val="22"/>
          <w:lang w:val="en-ZA"/>
        </w:rPr>
      </w:pPr>
    </w:p>
    <w:tbl>
      <w:tblPr>
        <w:tblStyle w:val="TableGrid"/>
        <w:tblpPr w:leftFromText="180" w:rightFromText="180" w:vertAnchor="text" w:horzAnchor="margin" w:tblpXSpec="right" w:tblpY="35"/>
        <w:tblW w:w="7460" w:type="dxa"/>
        <w:tblLook w:val="04A0" w:firstRow="1" w:lastRow="0" w:firstColumn="1" w:lastColumn="0" w:noHBand="0" w:noVBand="1"/>
      </w:tblPr>
      <w:tblGrid>
        <w:gridCol w:w="643"/>
        <w:gridCol w:w="3117"/>
        <w:gridCol w:w="1846"/>
        <w:gridCol w:w="1854"/>
      </w:tblGrid>
      <w:tr w:rsidR="003B2283" w:rsidTr="003B2283">
        <w:tc>
          <w:tcPr>
            <w:tcW w:w="643"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both"/>
              <w:rPr>
                <w:rFonts w:ascii="Arial" w:hAnsi="Arial" w:cs="Arial"/>
                <w:b/>
                <w:szCs w:val="22"/>
                <w:lang w:val="en-ZA" w:eastAsia="en-ZA"/>
              </w:rPr>
            </w:pPr>
            <w:r>
              <w:rPr>
                <w:rFonts w:ascii="Arial" w:hAnsi="Arial" w:cs="Arial"/>
                <w:b/>
                <w:szCs w:val="22"/>
                <w:lang w:val="en-ZA" w:eastAsia="en-ZA"/>
              </w:rPr>
              <w:lastRenderedPageBreak/>
              <w:t>Ser</w:t>
            </w:r>
          </w:p>
        </w:tc>
        <w:tc>
          <w:tcPr>
            <w:tcW w:w="3117"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both"/>
              <w:rPr>
                <w:rFonts w:ascii="Arial" w:hAnsi="Arial" w:cs="Arial"/>
                <w:b/>
                <w:szCs w:val="22"/>
                <w:lang w:val="en-ZA" w:eastAsia="en-ZA"/>
              </w:rPr>
            </w:pPr>
            <w:r>
              <w:rPr>
                <w:rFonts w:ascii="Arial" w:hAnsi="Arial" w:cs="Arial"/>
                <w:b/>
                <w:szCs w:val="22"/>
                <w:lang w:val="en-ZA" w:eastAsia="en-ZA"/>
              </w:rPr>
              <w:t>Category</w:t>
            </w:r>
          </w:p>
        </w:tc>
        <w:tc>
          <w:tcPr>
            <w:tcW w:w="1846"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center"/>
              <w:rPr>
                <w:rFonts w:ascii="Arial" w:hAnsi="Arial" w:cs="Arial"/>
                <w:b/>
                <w:szCs w:val="22"/>
                <w:lang w:val="en-ZA" w:eastAsia="en-ZA"/>
              </w:rPr>
            </w:pPr>
            <w:r>
              <w:rPr>
                <w:rFonts w:ascii="Arial" w:hAnsi="Arial" w:cs="Arial"/>
                <w:b/>
                <w:szCs w:val="22"/>
                <w:lang w:val="en-ZA" w:eastAsia="en-ZA"/>
              </w:rPr>
              <w:t>Nr of Invoices</w:t>
            </w:r>
          </w:p>
        </w:tc>
        <w:tc>
          <w:tcPr>
            <w:tcW w:w="1854"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right"/>
              <w:rPr>
                <w:rFonts w:ascii="Arial" w:hAnsi="Arial" w:cs="Arial"/>
                <w:b/>
                <w:szCs w:val="22"/>
                <w:lang w:val="en-ZA" w:eastAsia="en-ZA"/>
              </w:rPr>
            </w:pPr>
            <w:r>
              <w:rPr>
                <w:rFonts w:ascii="Arial" w:hAnsi="Arial" w:cs="Arial"/>
                <w:b/>
                <w:szCs w:val="22"/>
                <w:lang w:val="en-ZA" w:eastAsia="en-ZA"/>
              </w:rPr>
              <w:t>Rand Value</w:t>
            </w:r>
          </w:p>
        </w:tc>
      </w:tr>
      <w:tr w:rsidR="003B2283" w:rsidTr="003B2283">
        <w:tc>
          <w:tcPr>
            <w:tcW w:w="643"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both"/>
              <w:rPr>
                <w:rFonts w:ascii="Arial" w:hAnsi="Arial" w:cs="Arial"/>
                <w:szCs w:val="22"/>
                <w:lang w:val="en-ZA" w:eastAsia="en-ZA"/>
              </w:rPr>
            </w:pPr>
            <w:r>
              <w:rPr>
                <w:rFonts w:ascii="Arial" w:hAnsi="Arial" w:cs="Arial"/>
                <w:szCs w:val="22"/>
                <w:lang w:val="en-ZA" w:eastAsia="en-ZA"/>
              </w:rPr>
              <w:t>(aa)</w:t>
            </w:r>
          </w:p>
        </w:tc>
        <w:tc>
          <w:tcPr>
            <w:tcW w:w="3117"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both"/>
              <w:rPr>
                <w:rFonts w:ascii="Arial" w:hAnsi="Arial" w:cs="Arial"/>
                <w:szCs w:val="22"/>
                <w:lang w:val="en-ZA" w:eastAsia="en-ZA"/>
              </w:rPr>
            </w:pPr>
            <w:r>
              <w:rPr>
                <w:rFonts w:ascii="Arial" w:hAnsi="Arial" w:cs="Arial"/>
                <w:szCs w:val="22"/>
                <w:lang w:val="en-ZA" w:eastAsia="en-ZA"/>
              </w:rPr>
              <w:t>More than 30 Days</w:t>
            </w:r>
          </w:p>
        </w:tc>
        <w:tc>
          <w:tcPr>
            <w:tcW w:w="1846"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center"/>
              <w:rPr>
                <w:rFonts w:ascii="Arial" w:hAnsi="Arial" w:cs="Arial"/>
                <w:szCs w:val="22"/>
                <w:lang w:val="en-ZA" w:eastAsia="en-ZA"/>
              </w:rPr>
            </w:pPr>
            <w:r>
              <w:rPr>
                <w:rFonts w:ascii="Arial" w:hAnsi="Arial" w:cs="Arial"/>
                <w:szCs w:val="22"/>
                <w:lang w:val="en-ZA" w:eastAsia="en-ZA"/>
              </w:rPr>
              <w:t>30</w:t>
            </w:r>
          </w:p>
        </w:tc>
        <w:tc>
          <w:tcPr>
            <w:tcW w:w="1854"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right"/>
              <w:rPr>
                <w:rFonts w:ascii="Arial" w:hAnsi="Arial" w:cs="Arial"/>
                <w:szCs w:val="22"/>
                <w:lang w:val="en-ZA" w:eastAsia="en-ZA"/>
              </w:rPr>
            </w:pPr>
            <w:r>
              <w:rPr>
                <w:rFonts w:ascii="Arial" w:hAnsi="Arial" w:cs="Arial"/>
                <w:szCs w:val="22"/>
                <w:lang w:val="en-ZA" w:eastAsia="en-ZA"/>
              </w:rPr>
              <w:t>R1,344,559</w:t>
            </w:r>
          </w:p>
        </w:tc>
      </w:tr>
      <w:tr w:rsidR="003B2283" w:rsidTr="003B2283">
        <w:tc>
          <w:tcPr>
            <w:tcW w:w="643"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both"/>
              <w:rPr>
                <w:rFonts w:ascii="Arial" w:hAnsi="Arial" w:cs="Arial"/>
                <w:szCs w:val="22"/>
                <w:lang w:val="en-ZA" w:eastAsia="en-ZA"/>
              </w:rPr>
            </w:pPr>
            <w:r>
              <w:rPr>
                <w:rFonts w:ascii="Arial" w:hAnsi="Arial" w:cs="Arial"/>
                <w:szCs w:val="22"/>
                <w:lang w:val="en-ZA" w:eastAsia="en-ZA"/>
              </w:rPr>
              <w:t>(bb)</w:t>
            </w:r>
          </w:p>
        </w:tc>
        <w:tc>
          <w:tcPr>
            <w:tcW w:w="3117"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both"/>
              <w:rPr>
                <w:rFonts w:ascii="Arial" w:hAnsi="Arial" w:cs="Arial"/>
                <w:szCs w:val="22"/>
                <w:lang w:val="en-ZA" w:eastAsia="en-ZA"/>
              </w:rPr>
            </w:pPr>
            <w:r>
              <w:rPr>
                <w:rFonts w:ascii="Arial" w:hAnsi="Arial" w:cs="Arial"/>
                <w:szCs w:val="22"/>
                <w:lang w:val="en-ZA" w:eastAsia="en-ZA"/>
              </w:rPr>
              <w:t xml:space="preserve">                  60 Days</w:t>
            </w:r>
          </w:p>
        </w:tc>
        <w:tc>
          <w:tcPr>
            <w:tcW w:w="1846"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center"/>
              <w:rPr>
                <w:rFonts w:ascii="Arial" w:hAnsi="Arial" w:cs="Arial"/>
                <w:szCs w:val="22"/>
                <w:lang w:val="en-ZA" w:eastAsia="en-ZA"/>
              </w:rPr>
            </w:pPr>
            <w:r>
              <w:rPr>
                <w:rFonts w:ascii="Arial" w:hAnsi="Arial" w:cs="Arial"/>
                <w:szCs w:val="22"/>
                <w:lang w:val="en-ZA" w:eastAsia="en-ZA"/>
              </w:rPr>
              <w:t>0</w:t>
            </w:r>
          </w:p>
        </w:tc>
        <w:tc>
          <w:tcPr>
            <w:tcW w:w="1854"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right"/>
              <w:rPr>
                <w:rFonts w:ascii="Arial" w:hAnsi="Arial" w:cs="Arial"/>
                <w:szCs w:val="22"/>
                <w:lang w:val="en-ZA" w:eastAsia="en-ZA"/>
              </w:rPr>
            </w:pPr>
            <w:r>
              <w:rPr>
                <w:rFonts w:ascii="Arial" w:hAnsi="Arial" w:cs="Arial"/>
                <w:szCs w:val="22"/>
                <w:lang w:val="en-ZA" w:eastAsia="en-ZA"/>
              </w:rPr>
              <w:t>R0</w:t>
            </w:r>
          </w:p>
        </w:tc>
      </w:tr>
      <w:tr w:rsidR="003B2283" w:rsidTr="003B2283">
        <w:tc>
          <w:tcPr>
            <w:tcW w:w="643"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both"/>
              <w:rPr>
                <w:rFonts w:ascii="Arial" w:hAnsi="Arial" w:cs="Arial"/>
                <w:szCs w:val="22"/>
                <w:lang w:val="en-ZA" w:eastAsia="en-ZA"/>
              </w:rPr>
            </w:pPr>
            <w:r>
              <w:rPr>
                <w:rFonts w:ascii="Arial" w:hAnsi="Arial" w:cs="Arial"/>
                <w:szCs w:val="22"/>
                <w:lang w:val="en-ZA" w:eastAsia="en-ZA"/>
              </w:rPr>
              <w:t>(cc)</w:t>
            </w:r>
          </w:p>
        </w:tc>
        <w:tc>
          <w:tcPr>
            <w:tcW w:w="3117"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both"/>
              <w:rPr>
                <w:rFonts w:ascii="Arial" w:hAnsi="Arial" w:cs="Arial"/>
                <w:szCs w:val="22"/>
                <w:lang w:val="en-ZA" w:eastAsia="en-ZA"/>
              </w:rPr>
            </w:pPr>
            <w:r>
              <w:rPr>
                <w:rFonts w:ascii="Arial" w:hAnsi="Arial" w:cs="Arial"/>
                <w:szCs w:val="22"/>
                <w:lang w:val="en-ZA" w:eastAsia="en-ZA"/>
              </w:rPr>
              <w:t xml:space="preserve">                  90 Days</w:t>
            </w:r>
          </w:p>
        </w:tc>
        <w:tc>
          <w:tcPr>
            <w:tcW w:w="1846"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center"/>
              <w:rPr>
                <w:rFonts w:ascii="Arial" w:hAnsi="Arial" w:cs="Arial"/>
                <w:szCs w:val="22"/>
                <w:lang w:val="en-ZA" w:eastAsia="en-ZA"/>
              </w:rPr>
            </w:pPr>
            <w:r>
              <w:rPr>
                <w:rFonts w:ascii="Arial" w:hAnsi="Arial" w:cs="Arial"/>
                <w:szCs w:val="22"/>
                <w:lang w:val="en-ZA" w:eastAsia="en-ZA"/>
              </w:rPr>
              <w:t>5</w:t>
            </w:r>
          </w:p>
        </w:tc>
        <w:tc>
          <w:tcPr>
            <w:tcW w:w="1854"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right"/>
              <w:rPr>
                <w:rFonts w:ascii="Arial" w:hAnsi="Arial" w:cs="Arial"/>
                <w:szCs w:val="22"/>
                <w:lang w:val="en-ZA" w:eastAsia="en-ZA"/>
              </w:rPr>
            </w:pPr>
            <w:r>
              <w:rPr>
                <w:rFonts w:ascii="Arial" w:hAnsi="Arial" w:cs="Arial"/>
                <w:szCs w:val="22"/>
                <w:lang w:val="en-ZA" w:eastAsia="en-ZA"/>
              </w:rPr>
              <w:t>R14,683</w:t>
            </w:r>
          </w:p>
        </w:tc>
      </w:tr>
      <w:tr w:rsidR="003B2283" w:rsidTr="003B2283">
        <w:tc>
          <w:tcPr>
            <w:tcW w:w="643"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both"/>
              <w:rPr>
                <w:rFonts w:ascii="Arial" w:hAnsi="Arial" w:cs="Arial"/>
                <w:szCs w:val="22"/>
                <w:lang w:val="en-ZA" w:eastAsia="en-ZA"/>
              </w:rPr>
            </w:pPr>
            <w:r>
              <w:rPr>
                <w:rFonts w:ascii="Arial" w:hAnsi="Arial" w:cs="Arial"/>
                <w:szCs w:val="22"/>
                <w:lang w:val="en-ZA" w:eastAsia="en-ZA"/>
              </w:rPr>
              <w:t>(dd)</w:t>
            </w:r>
          </w:p>
        </w:tc>
        <w:tc>
          <w:tcPr>
            <w:tcW w:w="3117"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both"/>
              <w:rPr>
                <w:rFonts w:ascii="Arial" w:hAnsi="Arial" w:cs="Arial"/>
                <w:szCs w:val="22"/>
                <w:lang w:val="en-ZA" w:eastAsia="en-ZA"/>
              </w:rPr>
            </w:pPr>
            <w:r>
              <w:rPr>
                <w:rFonts w:ascii="Arial" w:hAnsi="Arial" w:cs="Arial"/>
                <w:szCs w:val="22"/>
                <w:lang w:val="en-ZA" w:eastAsia="en-ZA"/>
              </w:rPr>
              <w:t xml:space="preserve">                120 Days</w:t>
            </w:r>
          </w:p>
        </w:tc>
        <w:tc>
          <w:tcPr>
            <w:tcW w:w="1846"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center"/>
              <w:rPr>
                <w:rFonts w:ascii="Arial" w:hAnsi="Arial" w:cs="Arial"/>
                <w:szCs w:val="22"/>
                <w:lang w:val="en-ZA" w:eastAsia="en-ZA"/>
              </w:rPr>
            </w:pPr>
            <w:r>
              <w:rPr>
                <w:rFonts w:ascii="Arial" w:hAnsi="Arial" w:cs="Arial"/>
                <w:szCs w:val="22"/>
                <w:lang w:val="en-ZA" w:eastAsia="en-ZA"/>
              </w:rPr>
              <w:t>11</w:t>
            </w:r>
          </w:p>
        </w:tc>
        <w:tc>
          <w:tcPr>
            <w:tcW w:w="1854"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right"/>
              <w:rPr>
                <w:rFonts w:ascii="Arial" w:hAnsi="Arial" w:cs="Arial"/>
                <w:szCs w:val="22"/>
                <w:lang w:val="en-ZA" w:eastAsia="en-ZA"/>
              </w:rPr>
            </w:pPr>
            <w:r>
              <w:rPr>
                <w:rFonts w:ascii="Arial" w:hAnsi="Arial" w:cs="Arial"/>
                <w:szCs w:val="22"/>
                <w:lang w:val="en-ZA" w:eastAsia="en-ZA"/>
              </w:rPr>
              <w:t>R17,531</w:t>
            </w:r>
          </w:p>
        </w:tc>
      </w:tr>
      <w:tr w:rsidR="003B2283" w:rsidTr="003B2283">
        <w:tc>
          <w:tcPr>
            <w:tcW w:w="643" w:type="dxa"/>
            <w:tcBorders>
              <w:top w:val="single" w:sz="4" w:space="0" w:color="auto"/>
              <w:left w:val="single" w:sz="4" w:space="0" w:color="auto"/>
              <w:bottom w:val="single" w:sz="4" w:space="0" w:color="auto"/>
              <w:right w:val="single" w:sz="4" w:space="0" w:color="auto"/>
            </w:tcBorders>
          </w:tcPr>
          <w:p w:rsidR="003B2283" w:rsidRDefault="003B2283" w:rsidP="003B2283">
            <w:pPr>
              <w:pStyle w:val="BodyText"/>
              <w:tabs>
                <w:tab w:val="left" w:pos="426"/>
              </w:tabs>
              <w:spacing w:after="0"/>
              <w:jc w:val="both"/>
              <w:rPr>
                <w:rFonts w:ascii="Arial" w:hAnsi="Arial" w:cs="Arial"/>
                <w:b/>
                <w:szCs w:val="22"/>
                <w:lang w:val="en-ZA" w:eastAsia="en-ZA"/>
              </w:rPr>
            </w:pPr>
          </w:p>
        </w:tc>
        <w:tc>
          <w:tcPr>
            <w:tcW w:w="3117"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both"/>
              <w:rPr>
                <w:rFonts w:ascii="Arial" w:hAnsi="Arial" w:cs="Arial"/>
                <w:b/>
                <w:szCs w:val="22"/>
                <w:lang w:val="en-ZA" w:eastAsia="en-ZA"/>
              </w:rPr>
            </w:pPr>
            <w:r>
              <w:rPr>
                <w:rFonts w:ascii="Arial" w:hAnsi="Arial" w:cs="Arial"/>
                <w:b/>
                <w:szCs w:val="22"/>
                <w:lang w:val="en-ZA" w:eastAsia="en-ZA"/>
              </w:rPr>
              <w:t>TOTAL NR OF INVOICES</w:t>
            </w:r>
          </w:p>
        </w:tc>
        <w:tc>
          <w:tcPr>
            <w:tcW w:w="1846"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center"/>
              <w:rPr>
                <w:rFonts w:ascii="Arial" w:hAnsi="Arial" w:cs="Arial"/>
                <w:b/>
                <w:szCs w:val="22"/>
                <w:lang w:val="en-ZA" w:eastAsia="en-ZA"/>
              </w:rPr>
            </w:pPr>
            <w:r>
              <w:rPr>
                <w:rFonts w:ascii="Arial" w:hAnsi="Arial" w:cs="Arial"/>
                <w:b/>
                <w:szCs w:val="22"/>
                <w:lang w:val="en-ZA" w:eastAsia="en-ZA"/>
              </w:rPr>
              <w:t>46</w:t>
            </w:r>
          </w:p>
        </w:tc>
        <w:tc>
          <w:tcPr>
            <w:tcW w:w="1854" w:type="dxa"/>
            <w:tcBorders>
              <w:top w:val="single" w:sz="4" w:space="0" w:color="auto"/>
              <w:left w:val="single" w:sz="4" w:space="0" w:color="auto"/>
              <w:bottom w:val="single" w:sz="4" w:space="0" w:color="auto"/>
              <w:right w:val="single" w:sz="4" w:space="0" w:color="auto"/>
            </w:tcBorders>
            <w:hideMark/>
          </w:tcPr>
          <w:p w:rsidR="003B2283" w:rsidRDefault="003B2283" w:rsidP="003B2283">
            <w:pPr>
              <w:pStyle w:val="BodyText"/>
              <w:tabs>
                <w:tab w:val="left" w:pos="426"/>
              </w:tabs>
              <w:spacing w:after="0"/>
              <w:jc w:val="right"/>
              <w:rPr>
                <w:rFonts w:ascii="Arial" w:hAnsi="Arial" w:cs="Arial"/>
                <w:b/>
                <w:szCs w:val="22"/>
                <w:lang w:val="en-ZA" w:eastAsia="en-ZA"/>
              </w:rPr>
            </w:pPr>
            <w:r>
              <w:rPr>
                <w:rFonts w:ascii="Arial" w:hAnsi="Arial" w:cs="Arial"/>
                <w:b/>
                <w:szCs w:val="22"/>
                <w:lang w:val="en-ZA" w:eastAsia="en-ZA"/>
              </w:rPr>
              <w:t>R1,376,773</w:t>
            </w:r>
          </w:p>
        </w:tc>
      </w:tr>
    </w:tbl>
    <w:p w:rsidR="003B2283" w:rsidRDefault="003B2283" w:rsidP="003B2283">
      <w:pPr>
        <w:pStyle w:val="BodyText"/>
        <w:tabs>
          <w:tab w:val="left" w:pos="426"/>
        </w:tabs>
        <w:spacing w:after="0"/>
        <w:ind w:left="1800"/>
        <w:jc w:val="both"/>
        <w:rPr>
          <w:rFonts w:ascii="Arial" w:hAnsi="Arial" w:cs="Arial"/>
          <w:szCs w:val="22"/>
          <w:lang w:val="en-ZA"/>
        </w:rPr>
      </w:pPr>
    </w:p>
    <w:p w:rsidR="003B2283" w:rsidRDefault="003B2283" w:rsidP="003B2283">
      <w:pPr>
        <w:pStyle w:val="BodyText"/>
        <w:tabs>
          <w:tab w:val="left" w:pos="426"/>
        </w:tabs>
        <w:spacing w:after="0"/>
        <w:jc w:val="both"/>
        <w:rPr>
          <w:rFonts w:ascii="Arial" w:hAnsi="Arial" w:cs="Arial"/>
          <w:szCs w:val="22"/>
          <w:lang w:val="en-ZA"/>
        </w:rPr>
      </w:pPr>
    </w:p>
    <w:p w:rsidR="003B2283" w:rsidRDefault="003B2283" w:rsidP="003B2283">
      <w:pPr>
        <w:pStyle w:val="BodyText"/>
        <w:numPr>
          <w:ilvl w:val="0"/>
          <w:numId w:val="43"/>
        </w:numPr>
        <w:tabs>
          <w:tab w:val="left" w:pos="993"/>
        </w:tabs>
        <w:spacing w:after="0"/>
        <w:jc w:val="both"/>
        <w:rPr>
          <w:rFonts w:ascii="Arial" w:hAnsi="Arial" w:cs="Arial"/>
          <w:szCs w:val="22"/>
          <w:lang w:val="en-ZA"/>
        </w:rPr>
      </w:pPr>
      <w:r>
        <w:rPr>
          <w:rFonts w:ascii="Arial" w:hAnsi="Arial" w:cs="Arial"/>
          <w:szCs w:val="22"/>
          <w:lang w:val="en-ZA"/>
        </w:rPr>
        <w:t xml:space="preserve">The main reasons for these invoices not paid relates to the invoices being received late and then the processes to verify the correctness forces the invoices into the category of more than 30 days.  Invoices in the categories of 90 to 120 days mostly relates to invoices where the verification process to confirm legitimacy takes longer due to disputes and geographical location of some units.  It remains critical that all controls are continuously exercised to ensure that only verified legitimate invoices are paid.  </w:t>
      </w:r>
    </w:p>
    <w:p w:rsidR="003B2283" w:rsidRDefault="003B2283" w:rsidP="000A6BEB">
      <w:pPr>
        <w:pStyle w:val="BodyText"/>
        <w:tabs>
          <w:tab w:val="left" w:pos="426"/>
        </w:tabs>
        <w:spacing w:after="0"/>
        <w:ind w:left="1080"/>
        <w:jc w:val="both"/>
        <w:rPr>
          <w:rFonts w:ascii="Arial" w:hAnsi="Arial" w:cs="Arial"/>
          <w:szCs w:val="22"/>
          <w:lang w:val="en-ZA"/>
        </w:rPr>
      </w:pPr>
    </w:p>
    <w:p w:rsidR="003B2283" w:rsidRDefault="00A40834" w:rsidP="00484890">
      <w:pPr>
        <w:spacing w:before="100" w:beforeAutospacing="1" w:after="100" w:afterAutospacing="1"/>
        <w:ind w:left="851" w:hanging="851"/>
        <w:rPr>
          <w:rFonts w:ascii="Arial" w:hAnsi="Arial" w:cs="Arial"/>
          <w:b/>
          <w:u w:val="single"/>
        </w:rPr>
      </w:pPr>
      <w:r>
        <w:rPr>
          <w:rFonts w:ascii="Arial" w:hAnsi="Arial" w:cs="Arial"/>
          <w:b/>
          <w:u w:val="single"/>
        </w:rPr>
        <w:t>MILITARY OMBUD</w:t>
      </w:r>
    </w:p>
    <w:p w:rsidR="00A40834" w:rsidRDefault="00A40834" w:rsidP="00484890">
      <w:pPr>
        <w:spacing w:before="100" w:beforeAutospacing="1" w:after="100" w:afterAutospacing="1"/>
        <w:ind w:left="851" w:hanging="851"/>
        <w:rPr>
          <w:rFonts w:ascii="Arial" w:hAnsi="Arial" w:cs="Arial"/>
          <w:b/>
          <w:u w:val="single"/>
        </w:rPr>
      </w:pPr>
    </w:p>
    <w:p w:rsidR="00A40834" w:rsidRPr="00A40834" w:rsidRDefault="00A40834" w:rsidP="00A40834">
      <w:pPr>
        <w:pStyle w:val="ListParagraph"/>
        <w:spacing w:before="100" w:beforeAutospacing="1" w:after="100" w:afterAutospacing="1" w:line="276" w:lineRule="auto"/>
        <w:ind w:left="90"/>
        <w:jc w:val="both"/>
        <w:rPr>
          <w:rFonts w:ascii="Arial" w:hAnsi="Arial" w:cs="Arial"/>
          <w:lang w:val="en-ZA"/>
        </w:rPr>
      </w:pPr>
      <w:r w:rsidRPr="00A40834">
        <w:rPr>
          <w:rFonts w:ascii="Arial" w:hAnsi="Arial" w:cs="Arial"/>
          <w:color w:val="000000" w:themeColor="text1"/>
        </w:rPr>
        <w:t xml:space="preserve">The Office of the Military Ombud has one (1) invoice under Item 20, Serial Number 20018925 (Food &amp; Drinks: Office and Meetings) valued at </w:t>
      </w:r>
      <w:r w:rsidRPr="00A40834">
        <w:rPr>
          <w:rFonts w:ascii="Arial" w:hAnsi="Arial" w:cs="Arial"/>
          <w:b/>
          <w:color w:val="000000" w:themeColor="text1"/>
        </w:rPr>
        <w:t xml:space="preserve">R15,667.80 </w:t>
      </w:r>
      <w:r w:rsidRPr="00A40834">
        <w:rPr>
          <w:rFonts w:ascii="Arial" w:hAnsi="Arial" w:cs="Arial"/>
          <w:color w:val="000000" w:themeColor="text1"/>
        </w:rPr>
        <w:t>that has not been paid for more than sixty (60)</w:t>
      </w:r>
      <w:r>
        <w:rPr>
          <w:rFonts w:ascii="Arial" w:hAnsi="Arial" w:cs="Arial"/>
          <w:color w:val="000000" w:themeColor="text1"/>
        </w:rPr>
        <w:t xml:space="preserve"> days. </w:t>
      </w:r>
    </w:p>
    <w:p w:rsidR="00A40834" w:rsidRPr="003B2283" w:rsidRDefault="00A40834" w:rsidP="00484890">
      <w:pPr>
        <w:spacing w:before="100" w:beforeAutospacing="1" w:after="100" w:afterAutospacing="1"/>
        <w:ind w:left="851" w:hanging="851"/>
        <w:rPr>
          <w:rFonts w:ascii="Arial" w:hAnsi="Arial" w:cs="Arial"/>
          <w:b/>
          <w:u w:val="single"/>
        </w:rPr>
      </w:pPr>
    </w:p>
    <w:sectPr w:rsidR="00A40834" w:rsidRPr="003B2283" w:rsidSect="001701DF">
      <w:footerReference w:type="default" r:id="rId12"/>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267" w:rsidRDefault="005B2267">
      <w:r>
        <w:separator/>
      </w:r>
    </w:p>
  </w:endnote>
  <w:endnote w:type="continuationSeparator" w:id="0">
    <w:p w:rsidR="005B2267" w:rsidRDefault="005B2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0A6BEB">
          <w:rPr>
            <w:noProof/>
          </w:rPr>
          <w:t>3</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267" w:rsidRDefault="005B2267">
      <w:r>
        <w:separator/>
      </w:r>
    </w:p>
  </w:footnote>
  <w:footnote w:type="continuationSeparator" w:id="0">
    <w:p w:rsidR="005B2267" w:rsidRDefault="005B22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1572D11"/>
    <w:multiLevelType w:val="singleLevel"/>
    <w:tmpl w:val="26B8A9B6"/>
    <w:lvl w:ilvl="0">
      <w:start w:val="1"/>
      <w:numFmt w:val="decimal"/>
      <w:lvlText w:val="%1."/>
      <w:lvlJc w:val="left"/>
      <w:pPr>
        <w:tabs>
          <w:tab w:val="num" w:pos="720"/>
        </w:tabs>
        <w:ind w:left="720" w:hanging="72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CFE34D0"/>
    <w:multiLevelType w:val="hybridMultilevel"/>
    <w:tmpl w:val="965CE512"/>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8"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15:restartNumberingAfterBreak="0">
    <w:nsid w:val="38EA1F1E"/>
    <w:multiLevelType w:val="hybridMultilevel"/>
    <w:tmpl w:val="A16E82F0"/>
    <w:lvl w:ilvl="0" w:tplc="0E9608D8">
      <w:start w:val="1"/>
      <w:numFmt w:val="lowerRoman"/>
      <w:lvlText w:val="(%1)"/>
      <w:lvlJc w:val="left"/>
      <w:pPr>
        <w:ind w:left="1800" w:hanging="72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0"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6"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730D9D"/>
    <w:multiLevelType w:val="hybridMultilevel"/>
    <w:tmpl w:val="FE2E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7"/>
  </w:num>
  <w:num w:numId="2">
    <w:abstractNumId w:val="40"/>
  </w:num>
  <w:num w:numId="3">
    <w:abstractNumId w:val="5"/>
  </w:num>
  <w:num w:numId="4">
    <w:abstractNumId w:val="39"/>
  </w:num>
  <w:num w:numId="5">
    <w:abstractNumId w:val="30"/>
  </w:num>
  <w:num w:numId="6">
    <w:abstractNumId w:val="20"/>
  </w:num>
  <w:num w:numId="7">
    <w:abstractNumId w:val="25"/>
  </w:num>
  <w:num w:numId="8">
    <w:abstractNumId w:val="27"/>
  </w:num>
  <w:num w:numId="9">
    <w:abstractNumId w:val="14"/>
  </w:num>
  <w:num w:numId="10">
    <w:abstractNumId w:val="8"/>
  </w:num>
  <w:num w:numId="11">
    <w:abstractNumId w:val="28"/>
  </w:num>
  <w:num w:numId="12">
    <w:abstractNumId w:val="38"/>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
  </w:num>
  <w:num w:numId="19">
    <w:abstractNumId w:val="22"/>
  </w:num>
  <w:num w:numId="20">
    <w:abstractNumId w:val="13"/>
  </w:num>
  <w:num w:numId="21">
    <w:abstractNumId w:val="32"/>
  </w:num>
  <w:num w:numId="22">
    <w:abstractNumId w:val="35"/>
  </w:num>
  <w:num w:numId="23">
    <w:abstractNumId w:val="2"/>
  </w:num>
  <w:num w:numId="24">
    <w:abstractNumId w:val="6"/>
  </w:num>
  <w:num w:numId="25">
    <w:abstractNumId w:val="33"/>
  </w:num>
  <w:num w:numId="26">
    <w:abstractNumId w:val="21"/>
  </w:num>
  <w:num w:numId="27">
    <w:abstractNumId w:val="4"/>
  </w:num>
  <w:num w:numId="28">
    <w:abstractNumId w:val="24"/>
  </w:num>
  <w:num w:numId="29">
    <w:abstractNumId w:val="11"/>
  </w:num>
  <w:num w:numId="30">
    <w:abstractNumId w:val="10"/>
  </w:num>
  <w:num w:numId="31">
    <w:abstractNumId w:val="41"/>
  </w:num>
  <w:num w:numId="32">
    <w:abstractNumId w:val="12"/>
  </w:num>
  <w:num w:numId="33">
    <w:abstractNumId w:val="36"/>
  </w:num>
  <w:num w:numId="34">
    <w:abstractNumId w:val="18"/>
  </w:num>
  <w:num w:numId="35">
    <w:abstractNumId w:val="7"/>
  </w:num>
  <w:num w:numId="36">
    <w:abstractNumId w:val="15"/>
  </w:num>
  <w:num w:numId="37">
    <w:abstractNumId w:val="23"/>
  </w:num>
  <w:num w:numId="38">
    <w:abstractNumId w:val="26"/>
  </w:num>
  <w:num w:numId="39">
    <w:abstractNumId w:val="16"/>
  </w:num>
  <w:num w:numId="40">
    <w:abstractNumId w:val="29"/>
  </w:num>
  <w:num w:numId="41">
    <w:abstractNumId w:val="34"/>
  </w:num>
  <w:num w:numId="42">
    <w:abstractNumId w:val="9"/>
    <w:lvlOverride w:ilvl="0">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261DA"/>
    <w:rsid w:val="00054F7E"/>
    <w:rsid w:val="0006245B"/>
    <w:rsid w:val="0006453A"/>
    <w:rsid w:val="00070911"/>
    <w:rsid w:val="00073F12"/>
    <w:rsid w:val="000822A5"/>
    <w:rsid w:val="000A4731"/>
    <w:rsid w:val="000A47FB"/>
    <w:rsid w:val="000A6BE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67862"/>
    <w:rsid w:val="002751B0"/>
    <w:rsid w:val="00281FE1"/>
    <w:rsid w:val="002832FD"/>
    <w:rsid w:val="002863A2"/>
    <w:rsid w:val="0029087A"/>
    <w:rsid w:val="002A0065"/>
    <w:rsid w:val="002A2CB7"/>
    <w:rsid w:val="002A390E"/>
    <w:rsid w:val="002B1728"/>
    <w:rsid w:val="002B204B"/>
    <w:rsid w:val="002B20CE"/>
    <w:rsid w:val="002B2C8C"/>
    <w:rsid w:val="002B5CB9"/>
    <w:rsid w:val="002B6251"/>
    <w:rsid w:val="002C0CB5"/>
    <w:rsid w:val="002C0ED9"/>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1098"/>
    <w:rsid w:val="003948E1"/>
    <w:rsid w:val="00396992"/>
    <w:rsid w:val="003A094C"/>
    <w:rsid w:val="003A5180"/>
    <w:rsid w:val="003B01F2"/>
    <w:rsid w:val="003B2283"/>
    <w:rsid w:val="003B3645"/>
    <w:rsid w:val="00427C8E"/>
    <w:rsid w:val="00433D41"/>
    <w:rsid w:val="00440681"/>
    <w:rsid w:val="00445EC0"/>
    <w:rsid w:val="004555A4"/>
    <w:rsid w:val="004614DF"/>
    <w:rsid w:val="004615A2"/>
    <w:rsid w:val="004722F6"/>
    <w:rsid w:val="0047261E"/>
    <w:rsid w:val="00484890"/>
    <w:rsid w:val="00495C34"/>
    <w:rsid w:val="004C0EAD"/>
    <w:rsid w:val="004C37DC"/>
    <w:rsid w:val="004E1435"/>
    <w:rsid w:val="004E2B55"/>
    <w:rsid w:val="00505A3B"/>
    <w:rsid w:val="00512E85"/>
    <w:rsid w:val="00524E6C"/>
    <w:rsid w:val="0052612F"/>
    <w:rsid w:val="00540888"/>
    <w:rsid w:val="00541B98"/>
    <w:rsid w:val="00545D85"/>
    <w:rsid w:val="005735AA"/>
    <w:rsid w:val="0059608D"/>
    <w:rsid w:val="00596357"/>
    <w:rsid w:val="005B226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32DD9"/>
    <w:rsid w:val="007429DF"/>
    <w:rsid w:val="0074600A"/>
    <w:rsid w:val="007524C8"/>
    <w:rsid w:val="007549ED"/>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83C24"/>
    <w:rsid w:val="00891A63"/>
    <w:rsid w:val="008970BA"/>
    <w:rsid w:val="008A2140"/>
    <w:rsid w:val="008A5730"/>
    <w:rsid w:val="008C4F02"/>
    <w:rsid w:val="008D1485"/>
    <w:rsid w:val="008D163C"/>
    <w:rsid w:val="008D1F8F"/>
    <w:rsid w:val="008D25A5"/>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9F2E81"/>
    <w:rsid w:val="00A00443"/>
    <w:rsid w:val="00A00E06"/>
    <w:rsid w:val="00A043CC"/>
    <w:rsid w:val="00A218D5"/>
    <w:rsid w:val="00A307A4"/>
    <w:rsid w:val="00A34E72"/>
    <w:rsid w:val="00A36976"/>
    <w:rsid w:val="00A40834"/>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A636C"/>
    <w:rsid w:val="00CB0DDF"/>
    <w:rsid w:val="00CB4756"/>
    <w:rsid w:val="00CD634C"/>
    <w:rsid w:val="00CD7D90"/>
    <w:rsid w:val="00CE208E"/>
    <w:rsid w:val="00CE2C7E"/>
    <w:rsid w:val="00CE69D7"/>
    <w:rsid w:val="00CF74A6"/>
    <w:rsid w:val="00D120B0"/>
    <w:rsid w:val="00D14410"/>
    <w:rsid w:val="00D159F9"/>
    <w:rsid w:val="00D21FF1"/>
    <w:rsid w:val="00D43129"/>
    <w:rsid w:val="00D5256D"/>
    <w:rsid w:val="00D52E1A"/>
    <w:rsid w:val="00D63040"/>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762B9"/>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character" w:customStyle="1" w:styleId="s1">
    <w:name w:val="s1"/>
    <w:rsid w:val="002832FD"/>
    <w:rPr>
      <w:rFonts w:ascii=".SFUIText" w:hAnsi=".SFUIText" w:hint="default"/>
      <w:b w:val="0"/>
      <w:bCs w:val="0"/>
      <w:i w:val="0"/>
      <w:iCs w:val="0"/>
      <w:sz w:val="34"/>
      <w:szCs w:val="34"/>
    </w:rPr>
  </w:style>
  <w:style w:type="character" w:styleId="Strong">
    <w:name w:val="Strong"/>
    <w:basedOn w:val="DefaultParagraphFont"/>
    <w:qFormat/>
    <w:rsid w:val="000261DA"/>
    <w:rPr>
      <w:b/>
      <w:bCs/>
    </w:rPr>
  </w:style>
  <w:style w:type="paragraph" w:styleId="BalloonText">
    <w:name w:val="Balloon Text"/>
    <w:basedOn w:val="Normal"/>
    <w:link w:val="BalloonTextChar"/>
    <w:semiHidden/>
    <w:unhideWhenUsed/>
    <w:rsid w:val="003B2283"/>
    <w:rPr>
      <w:rFonts w:ascii="Segoe UI" w:hAnsi="Segoe UI" w:cs="Segoe UI"/>
      <w:sz w:val="18"/>
      <w:szCs w:val="18"/>
    </w:rPr>
  </w:style>
  <w:style w:type="character" w:customStyle="1" w:styleId="BalloonTextChar">
    <w:name w:val="Balloon Text Char"/>
    <w:basedOn w:val="DefaultParagraphFont"/>
    <w:link w:val="BalloonText"/>
    <w:semiHidden/>
    <w:rsid w:val="003B2283"/>
    <w:rPr>
      <w:rFonts w:ascii="Segoe UI" w:hAnsi="Segoe UI" w:cs="Segoe UI"/>
      <w:sz w:val="18"/>
      <w:szCs w:val="18"/>
      <w:lang w:val="en-GB" w:eastAsia="en-US"/>
    </w:rPr>
  </w:style>
  <w:style w:type="paragraph" w:styleId="BodyText">
    <w:name w:val="Body Text"/>
    <w:basedOn w:val="Normal"/>
    <w:link w:val="BodyTextChar"/>
    <w:unhideWhenUsed/>
    <w:rsid w:val="003B2283"/>
    <w:pPr>
      <w:spacing w:after="120"/>
    </w:pPr>
  </w:style>
  <w:style w:type="character" w:customStyle="1" w:styleId="BodyTextChar">
    <w:name w:val="Body Text Char"/>
    <w:basedOn w:val="DefaultParagraphFont"/>
    <w:link w:val="BodyText"/>
    <w:rsid w:val="003B228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6933149">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89844576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296681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37322315">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80082225">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02156914">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3267045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 w:id="2031369417">
      <w:bodyDiv w:val="1"/>
      <w:marLeft w:val="0"/>
      <w:marRight w:val="0"/>
      <w:marTop w:val="0"/>
      <w:marBottom w:val="0"/>
      <w:divBdr>
        <w:top w:val="none" w:sz="0" w:space="0" w:color="auto"/>
        <w:left w:val="none" w:sz="0" w:space="0" w:color="auto"/>
        <w:bottom w:val="none" w:sz="0" w:space="0" w:color="auto"/>
        <w:right w:val="none" w:sz="0" w:space="0" w:color="auto"/>
      </w:divBdr>
    </w:div>
    <w:div w:id="21341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4B03B-C673-47EA-8DAB-C58B6340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6</cp:revision>
  <cp:lastPrinted>2017-11-27T07:01:00Z</cp:lastPrinted>
  <dcterms:created xsi:type="dcterms:W3CDTF">2017-11-08T16:10:00Z</dcterms:created>
  <dcterms:modified xsi:type="dcterms:W3CDTF">2017-11-27T07:03:00Z</dcterms:modified>
</cp:coreProperties>
</file>