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w:t>
      </w:r>
      <w:r w:rsidR="005828A7">
        <w:rPr>
          <w:rFonts w:ascii="Arial" w:eastAsia="Times New Roman" w:hAnsi="Arial" w:cs="Arial"/>
          <w:b/>
          <w:snapToGrid w:val="0"/>
          <w:color w:val="000000"/>
          <w:sz w:val="40"/>
          <w:szCs w:val="40"/>
          <w:lang w:val="en-GB"/>
        </w:rPr>
        <w:t>_______</w:t>
      </w:r>
    </w:p>
    <w:p w:rsidR="00D33C41" w:rsidRPr="005828A7"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828A7">
        <w:rPr>
          <w:rFonts w:ascii="Arial" w:eastAsia="Times New Roman" w:hAnsi="Arial" w:cs="Arial"/>
          <w:b/>
          <w:snapToGrid w:val="0"/>
          <w:color w:val="000000"/>
          <w:sz w:val="24"/>
          <w:szCs w:val="40"/>
          <w:lang w:val="en-GB"/>
        </w:rPr>
        <w:t>NATIONAL ASSEMBLY</w:t>
      </w:r>
    </w:p>
    <w:p w:rsidR="00D33C41" w:rsidRPr="005828A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5828A7">
        <w:rPr>
          <w:rFonts w:ascii="Arial" w:eastAsia="Times New Roman" w:hAnsi="Arial" w:cs="Arial"/>
          <w:b/>
          <w:snapToGrid w:val="0"/>
          <w:color w:val="000000"/>
          <w:sz w:val="24"/>
          <w:szCs w:val="40"/>
          <w:lang w:val="en-GB"/>
        </w:rPr>
        <w:t xml:space="preserve">QUESTION FOR </w:t>
      </w:r>
      <w:r w:rsidR="00CB758D" w:rsidRPr="005828A7">
        <w:rPr>
          <w:rFonts w:ascii="Arial" w:eastAsia="Times New Roman" w:hAnsi="Arial" w:cs="Arial"/>
          <w:b/>
          <w:snapToGrid w:val="0"/>
          <w:color w:val="000000"/>
          <w:sz w:val="24"/>
          <w:szCs w:val="40"/>
          <w:lang w:val="en-GB"/>
        </w:rPr>
        <w:t>WRITTEN</w:t>
      </w:r>
      <w:r w:rsidR="00D33C41" w:rsidRPr="005828A7">
        <w:rPr>
          <w:rFonts w:ascii="Arial" w:eastAsia="Times New Roman" w:hAnsi="Arial" w:cs="Arial"/>
          <w:b/>
          <w:snapToGrid w:val="0"/>
          <w:color w:val="000000"/>
          <w:sz w:val="24"/>
          <w:szCs w:val="40"/>
          <w:lang w:val="en-GB"/>
        </w:rPr>
        <w:t xml:space="preserve"> REPLY</w:t>
      </w:r>
    </w:p>
    <w:p w:rsidR="00D33C41" w:rsidRPr="005828A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5828A7">
        <w:rPr>
          <w:rFonts w:ascii="Arial" w:eastAsia="Times New Roman" w:hAnsi="Arial" w:cs="Arial"/>
          <w:b/>
          <w:snapToGrid w:val="0"/>
          <w:sz w:val="24"/>
          <w:szCs w:val="40"/>
          <w:lang w:val="en-GB"/>
        </w:rPr>
        <w:t>QUESTION NUMBER:</w:t>
      </w:r>
      <w:r w:rsidR="00E556BF" w:rsidRPr="005828A7">
        <w:rPr>
          <w:rFonts w:ascii="Arial" w:eastAsia="Times New Roman" w:hAnsi="Arial" w:cs="Arial"/>
          <w:b/>
          <w:snapToGrid w:val="0"/>
          <w:sz w:val="24"/>
          <w:szCs w:val="40"/>
          <w:lang w:val="en-GB"/>
        </w:rPr>
        <w:t xml:space="preserve"> </w:t>
      </w:r>
      <w:r w:rsidRPr="005828A7">
        <w:rPr>
          <w:rFonts w:ascii="Arial" w:eastAsia="Times New Roman" w:hAnsi="Arial" w:cs="Arial"/>
          <w:b/>
          <w:snapToGrid w:val="0"/>
          <w:sz w:val="24"/>
          <w:szCs w:val="40"/>
          <w:lang w:val="en-GB"/>
        </w:rPr>
        <w:tab/>
      </w:r>
      <w:r w:rsidR="000F621A" w:rsidRPr="005828A7">
        <w:rPr>
          <w:rFonts w:ascii="Arial" w:eastAsia="Times New Roman" w:hAnsi="Arial" w:cs="Arial"/>
          <w:b/>
          <w:snapToGrid w:val="0"/>
          <w:sz w:val="24"/>
          <w:szCs w:val="40"/>
          <w:lang w:val="en-GB"/>
        </w:rPr>
        <w:t>3</w:t>
      </w:r>
      <w:r w:rsidR="00BB6966" w:rsidRPr="005828A7">
        <w:rPr>
          <w:rFonts w:ascii="Arial" w:eastAsia="Times New Roman" w:hAnsi="Arial" w:cs="Arial"/>
          <w:b/>
          <w:snapToGrid w:val="0"/>
          <w:sz w:val="24"/>
          <w:szCs w:val="40"/>
          <w:lang w:val="en-GB"/>
        </w:rPr>
        <w:t>562</w:t>
      </w:r>
    </w:p>
    <w:p w:rsidR="00D33C41" w:rsidRPr="005828A7" w:rsidRDefault="00D33C41" w:rsidP="00FB4659">
      <w:pPr>
        <w:spacing w:after="120" w:line="240" w:lineRule="auto"/>
        <w:jc w:val="center"/>
        <w:rPr>
          <w:rFonts w:ascii="Arial" w:eastAsia="Times New Roman" w:hAnsi="Arial" w:cs="Arial"/>
          <w:b/>
          <w:snapToGrid w:val="0"/>
          <w:sz w:val="24"/>
          <w:szCs w:val="40"/>
          <w:lang w:val="en-GB"/>
        </w:rPr>
      </w:pPr>
      <w:r w:rsidRPr="005828A7">
        <w:rPr>
          <w:rFonts w:ascii="Arial" w:eastAsia="Times New Roman" w:hAnsi="Arial" w:cs="Arial"/>
          <w:b/>
          <w:snapToGrid w:val="0"/>
          <w:sz w:val="24"/>
          <w:szCs w:val="40"/>
          <w:lang w:val="en-GB"/>
        </w:rPr>
        <w:t xml:space="preserve">DATE OF PUBLICATION IN INTERNAL QUESTION PAPER: </w:t>
      </w:r>
      <w:r w:rsidR="00BB6966" w:rsidRPr="005828A7">
        <w:rPr>
          <w:rFonts w:ascii="Arial" w:eastAsia="Times New Roman" w:hAnsi="Arial" w:cs="Arial"/>
          <w:b/>
          <w:snapToGrid w:val="0"/>
          <w:sz w:val="24"/>
          <w:szCs w:val="40"/>
          <w:lang w:val="en-GB"/>
        </w:rPr>
        <w:t>14 OCTOBER</w:t>
      </w:r>
      <w:r w:rsidR="009E7540" w:rsidRPr="005828A7">
        <w:rPr>
          <w:rFonts w:ascii="Arial" w:eastAsia="Times New Roman" w:hAnsi="Arial" w:cs="Arial"/>
          <w:b/>
          <w:snapToGrid w:val="0"/>
          <w:sz w:val="24"/>
          <w:szCs w:val="40"/>
          <w:lang w:val="en-GB"/>
        </w:rPr>
        <w:t xml:space="preserve"> 202</w:t>
      </w:r>
      <w:r w:rsidR="00FA5947" w:rsidRPr="005828A7">
        <w:rPr>
          <w:rFonts w:ascii="Arial" w:eastAsia="Times New Roman" w:hAnsi="Arial" w:cs="Arial"/>
          <w:b/>
          <w:snapToGrid w:val="0"/>
          <w:sz w:val="24"/>
          <w:szCs w:val="40"/>
          <w:lang w:val="en-GB"/>
        </w:rPr>
        <w:t>2</w:t>
      </w:r>
    </w:p>
    <w:p w:rsidR="00D33C41" w:rsidRPr="005828A7"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5828A7">
        <w:rPr>
          <w:rFonts w:ascii="Arial" w:eastAsia="Times New Roman" w:hAnsi="Arial" w:cs="Arial"/>
          <w:b/>
          <w:snapToGrid w:val="0"/>
          <w:sz w:val="24"/>
          <w:szCs w:val="40"/>
          <w:lang w:val="en-GB"/>
        </w:rPr>
        <w:t xml:space="preserve">INTERNAL QUESTION PAPER NUMBER: </w:t>
      </w:r>
      <w:r w:rsidR="00C724E7" w:rsidRPr="005828A7">
        <w:rPr>
          <w:rFonts w:ascii="Arial" w:eastAsia="Times New Roman" w:hAnsi="Arial" w:cs="Arial"/>
          <w:b/>
          <w:snapToGrid w:val="0"/>
          <w:sz w:val="24"/>
          <w:szCs w:val="40"/>
          <w:lang w:val="en-GB"/>
        </w:rPr>
        <w:t>3</w:t>
      </w:r>
      <w:r w:rsidR="00BB6966" w:rsidRPr="005828A7">
        <w:rPr>
          <w:rFonts w:ascii="Arial" w:eastAsia="Times New Roman" w:hAnsi="Arial" w:cs="Arial"/>
          <w:b/>
          <w:snapToGrid w:val="0"/>
          <w:sz w:val="24"/>
          <w:szCs w:val="40"/>
          <w:lang w:val="en-GB"/>
        </w:rPr>
        <w:t>8</w:t>
      </w:r>
      <w:r w:rsidR="009E7540" w:rsidRPr="005828A7">
        <w:rPr>
          <w:rFonts w:ascii="Arial" w:eastAsia="Times New Roman" w:hAnsi="Arial" w:cs="Arial"/>
          <w:b/>
          <w:snapToGrid w:val="0"/>
          <w:sz w:val="24"/>
          <w:szCs w:val="40"/>
          <w:lang w:val="en-GB"/>
        </w:rPr>
        <w:t xml:space="preserve"> - 202</w:t>
      </w:r>
      <w:r w:rsidR="00FA5947" w:rsidRPr="005828A7">
        <w:rPr>
          <w:rFonts w:ascii="Arial" w:eastAsia="Times New Roman" w:hAnsi="Arial" w:cs="Arial"/>
          <w:b/>
          <w:snapToGrid w:val="0"/>
          <w:sz w:val="24"/>
          <w:szCs w:val="40"/>
          <w:lang w:val="en-GB"/>
        </w:rPr>
        <w:t>2</w:t>
      </w:r>
    </w:p>
    <w:p w:rsidR="00BB6966" w:rsidRPr="005828A7" w:rsidRDefault="00BB6966" w:rsidP="00BB6966">
      <w:pPr>
        <w:spacing w:before="100" w:beforeAutospacing="1" w:after="100" w:afterAutospacing="1" w:line="240" w:lineRule="auto"/>
        <w:ind w:left="720" w:right="26" w:hanging="720"/>
        <w:jc w:val="both"/>
        <w:outlineLvl w:val="0"/>
        <w:rPr>
          <w:rFonts w:ascii="Arial" w:hAnsi="Arial" w:cs="Arial"/>
          <w:b/>
          <w:sz w:val="24"/>
          <w:szCs w:val="24"/>
          <w:lang w:val="en-GB"/>
        </w:rPr>
      </w:pPr>
      <w:r w:rsidRPr="005828A7">
        <w:rPr>
          <w:rFonts w:ascii="Arial" w:hAnsi="Arial" w:cs="Arial"/>
          <w:b/>
          <w:sz w:val="24"/>
          <w:szCs w:val="24"/>
          <w:lang w:val="en-GB"/>
        </w:rPr>
        <w:t>3562.</w:t>
      </w:r>
      <w:r w:rsidRPr="005828A7">
        <w:rPr>
          <w:rFonts w:ascii="Arial" w:hAnsi="Arial" w:cs="Arial"/>
          <w:b/>
          <w:sz w:val="24"/>
          <w:szCs w:val="24"/>
          <w:lang w:val="en-GB"/>
        </w:rPr>
        <w:tab/>
        <w:t xml:space="preserve">Ms L L </w:t>
      </w:r>
      <w:r w:rsidRPr="005828A7">
        <w:rPr>
          <w:rFonts w:ascii="Arial" w:hAnsi="Arial" w:cs="Arial"/>
          <w:b/>
          <w:sz w:val="24"/>
          <w:szCs w:val="24"/>
          <w:lang w:val="en-US"/>
        </w:rPr>
        <w:t>van</w:t>
      </w:r>
      <w:r w:rsidRPr="005828A7">
        <w:rPr>
          <w:rFonts w:ascii="Arial" w:hAnsi="Arial" w:cs="Arial"/>
          <w:b/>
          <w:sz w:val="24"/>
          <w:szCs w:val="24"/>
          <w:lang w:val="en-GB"/>
        </w:rPr>
        <w:t xml:space="preserve"> der Merwe (IFP) to ask the Minister of Social Development</w:t>
      </w:r>
      <w:r w:rsidR="00F27DBA" w:rsidRPr="005828A7">
        <w:rPr>
          <w:rFonts w:ascii="Arial" w:hAnsi="Arial" w:cs="Arial"/>
          <w:b/>
          <w:sz w:val="24"/>
          <w:szCs w:val="24"/>
          <w:lang w:val="en-GB"/>
        </w:rPr>
        <w:fldChar w:fldCharType="begin"/>
      </w:r>
      <w:r w:rsidRPr="005828A7">
        <w:rPr>
          <w:rFonts w:ascii="Arial" w:hAnsi="Arial" w:cs="Arial"/>
          <w:sz w:val="24"/>
          <w:szCs w:val="24"/>
        </w:rPr>
        <w:instrText xml:space="preserve"> XE "</w:instrText>
      </w:r>
      <w:r w:rsidRPr="005828A7">
        <w:rPr>
          <w:rFonts w:ascii="Arial" w:hAnsi="Arial" w:cs="Arial"/>
          <w:b/>
          <w:sz w:val="24"/>
          <w:szCs w:val="24"/>
        </w:rPr>
        <w:instrText>Minister of Social Development</w:instrText>
      </w:r>
      <w:r w:rsidRPr="005828A7">
        <w:rPr>
          <w:rFonts w:ascii="Arial" w:hAnsi="Arial" w:cs="Arial"/>
          <w:sz w:val="24"/>
          <w:szCs w:val="24"/>
        </w:rPr>
        <w:instrText xml:space="preserve">" </w:instrText>
      </w:r>
      <w:r w:rsidR="00F27DBA" w:rsidRPr="005828A7">
        <w:rPr>
          <w:rFonts w:ascii="Arial" w:hAnsi="Arial" w:cs="Arial"/>
          <w:b/>
          <w:sz w:val="24"/>
          <w:szCs w:val="24"/>
          <w:lang w:val="en-GB"/>
        </w:rPr>
        <w:fldChar w:fldCharType="end"/>
      </w:r>
      <w:r w:rsidRPr="005828A7">
        <w:rPr>
          <w:rFonts w:ascii="Arial" w:hAnsi="Arial" w:cs="Arial"/>
          <w:b/>
          <w:sz w:val="24"/>
          <w:szCs w:val="24"/>
          <w:lang w:val="en-GB"/>
        </w:rPr>
        <w:t>:</w:t>
      </w:r>
    </w:p>
    <w:p w:rsidR="00BB6966" w:rsidRPr="005828A7" w:rsidRDefault="00BB6966" w:rsidP="00BB6966">
      <w:pPr>
        <w:spacing w:before="100" w:beforeAutospacing="1" w:after="100" w:afterAutospacing="1" w:line="240" w:lineRule="auto"/>
        <w:ind w:left="1440" w:right="26" w:hanging="720"/>
        <w:jc w:val="both"/>
        <w:outlineLvl w:val="0"/>
        <w:rPr>
          <w:rFonts w:ascii="Arial" w:hAnsi="Arial" w:cs="Arial"/>
          <w:color w:val="212121"/>
          <w:sz w:val="24"/>
          <w:szCs w:val="24"/>
        </w:rPr>
      </w:pPr>
      <w:r w:rsidRPr="005828A7">
        <w:rPr>
          <w:rFonts w:ascii="Arial" w:hAnsi="Arial" w:cs="Arial"/>
          <w:sz w:val="24"/>
          <w:szCs w:val="24"/>
        </w:rPr>
        <w:t>(1)</w:t>
      </w:r>
      <w:r w:rsidRPr="005828A7">
        <w:rPr>
          <w:rFonts w:ascii="Arial" w:hAnsi="Arial" w:cs="Arial"/>
          <w:sz w:val="24"/>
          <w:szCs w:val="24"/>
        </w:rPr>
        <w:tab/>
      </w:r>
      <w:r w:rsidRPr="005828A7">
        <w:rPr>
          <w:rFonts w:ascii="Arial" w:hAnsi="Arial" w:cs="Arial"/>
          <w:color w:val="212121"/>
          <w:sz w:val="24"/>
          <w:szCs w:val="24"/>
        </w:rPr>
        <w:t xml:space="preserve">What total number of recipients from grants of the SA Social Security Agency (SASSA) are being paid (a) in </w:t>
      </w:r>
      <w:r w:rsidRPr="005828A7">
        <w:rPr>
          <w:rFonts w:ascii="Arial" w:eastAsia="Times New Roman" w:hAnsi="Arial" w:cs="Arial"/>
          <w:sz w:val="24"/>
          <w:szCs w:val="24"/>
          <w:lang w:val="en-US"/>
        </w:rPr>
        <w:t>person</w:t>
      </w:r>
      <w:r w:rsidRPr="005828A7">
        <w:rPr>
          <w:rFonts w:ascii="Arial" w:hAnsi="Arial" w:cs="Arial"/>
          <w:color w:val="212121"/>
          <w:sz w:val="24"/>
          <w:szCs w:val="24"/>
        </w:rPr>
        <w:t>, (b) through electronic funds transfer and/or bank accounts and (c) through CashSend;</w:t>
      </w:r>
    </w:p>
    <w:p w:rsidR="00BB6966" w:rsidRPr="005828A7" w:rsidRDefault="00BB6966" w:rsidP="00BB6966">
      <w:pPr>
        <w:spacing w:before="100" w:beforeAutospacing="1" w:after="100" w:afterAutospacing="1" w:line="240" w:lineRule="auto"/>
        <w:ind w:left="1440" w:right="26" w:hanging="720"/>
        <w:jc w:val="both"/>
        <w:outlineLvl w:val="0"/>
        <w:rPr>
          <w:rFonts w:ascii="Arial" w:hAnsi="Arial" w:cs="Arial"/>
          <w:color w:val="212121"/>
          <w:sz w:val="24"/>
          <w:szCs w:val="24"/>
        </w:rPr>
      </w:pPr>
      <w:r w:rsidRPr="005828A7">
        <w:rPr>
          <w:rFonts w:ascii="Arial" w:hAnsi="Arial" w:cs="Arial"/>
          <w:sz w:val="24"/>
          <w:szCs w:val="24"/>
        </w:rPr>
        <w:t>(2)</w:t>
      </w:r>
      <w:r w:rsidRPr="005828A7">
        <w:rPr>
          <w:rFonts w:ascii="Arial" w:hAnsi="Arial" w:cs="Arial"/>
          <w:sz w:val="24"/>
          <w:szCs w:val="24"/>
        </w:rPr>
        <w:tab/>
      </w:r>
      <w:r w:rsidRPr="005828A7">
        <w:rPr>
          <w:rFonts w:ascii="Arial" w:hAnsi="Arial" w:cs="Arial"/>
          <w:color w:val="212121"/>
          <w:sz w:val="24"/>
          <w:szCs w:val="24"/>
        </w:rPr>
        <w:t>what (a) total number of SASSA grant recipients are awaiting their appeals for grants to be finalised and (b) is the breakdown of such grant types;</w:t>
      </w:r>
    </w:p>
    <w:p w:rsidR="00BB6966" w:rsidRPr="005828A7" w:rsidRDefault="00BB6966" w:rsidP="00BB6966">
      <w:pPr>
        <w:spacing w:before="100" w:beforeAutospacing="1" w:after="100" w:afterAutospacing="1" w:line="240" w:lineRule="auto"/>
        <w:ind w:left="1440" w:right="26" w:hanging="720"/>
        <w:jc w:val="both"/>
        <w:outlineLvl w:val="0"/>
        <w:rPr>
          <w:rFonts w:ascii="Arial" w:hAnsi="Arial" w:cs="Arial"/>
          <w:color w:val="212121"/>
          <w:sz w:val="24"/>
          <w:szCs w:val="24"/>
        </w:rPr>
      </w:pPr>
      <w:r w:rsidRPr="005828A7">
        <w:rPr>
          <w:rFonts w:ascii="Arial" w:hAnsi="Arial" w:cs="Arial"/>
          <w:sz w:val="24"/>
          <w:szCs w:val="24"/>
        </w:rPr>
        <w:t>(3)</w:t>
      </w:r>
      <w:r w:rsidRPr="005828A7">
        <w:rPr>
          <w:rFonts w:ascii="Arial" w:hAnsi="Arial" w:cs="Arial"/>
          <w:sz w:val="24"/>
          <w:szCs w:val="24"/>
        </w:rPr>
        <w:tab/>
      </w:r>
      <w:r w:rsidRPr="005828A7">
        <w:rPr>
          <w:rFonts w:ascii="Arial" w:hAnsi="Arial" w:cs="Arial"/>
          <w:color w:val="212121"/>
          <w:sz w:val="24"/>
          <w:szCs w:val="24"/>
        </w:rPr>
        <w:t xml:space="preserve">what (a) total number of grants have not been paid to date and (b) are the reasons that the grant payments are </w:t>
      </w:r>
      <w:r w:rsidRPr="005828A7">
        <w:rPr>
          <w:rFonts w:ascii="Arial" w:hAnsi="Arial" w:cs="Arial"/>
          <w:sz w:val="24"/>
          <w:szCs w:val="24"/>
        </w:rPr>
        <w:t>being</w:t>
      </w:r>
      <w:r w:rsidRPr="005828A7">
        <w:rPr>
          <w:rFonts w:ascii="Arial" w:hAnsi="Arial" w:cs="Arial"/>
          <w:color w:val="212121"/>
          <w:sz w:val="24"/>
          <w:szCs w:val="24"/>
        </w:rPr>
        <w:t xml:space="preserve"> delayed</w:t>
      </w:r>
      <w:r w:rsidRPr="005828A7">
        <w:rPr>
          <w:rFonts w:ascii="Arial" w:hAnsi="Arial" w:cs="Arial"/>
          <w:sz w:val="24"/>
          <w:szCs w:val="24"/>
        </w:rPr>
        <w:t>?</w:t>
      </w:r>
      <w:r w:rsidRPr="005828A7">
        <w:rPr>
          <w:rFonts w:ascii="Arial" w:hAnsi="Arial" w:cs="Arial"/>
          <w:sz w:val="24"/>
          <w:szCs w:val="24"/>
        </w:rPr>
        <w:tab/>
      </w:r>
      <w:r w:rsidRPr="005828A7">
        <w:rPr>
          <w:rFonts w:ascii="Arial" w:hAnsi="Arial" w:cs="Arial"/>
          <w:sz w:val="24"/>
          <w:szCs w:val="24"/>
        </w:rPr>
        <w:tab/>
      </w:r>
      <w:r w:rsidRPr="005828A7">
        <w:rPr>
          <w:rFonts w:ascii="Arial" w:hAnsi="Arial" w:cs="Arial"/>
          <w:sz w:val="24"/>
          <w:szCs w:val="24"/>
        </w:rPr>
        <w:tab/>
      </w:r>
      <w:r w:rsidRPr="005828A7">
        <w:rPr>
          <w:rFonts w:ascii="Arial" w:hAnsi="Arial" w:cs="Arial"/>
          <w:sz w:val="24"/>
          <w:szCs w:val="24"/>
        </w:rPr>
        <w:tab/>
        <w:t xml:space="preserve">           NW4368E</w:t>
      </w:r>
    </w:p>
    <w:p w:rsidR="0004596A" w:rsidRPr="005828A7" w:rsidRDefault="0029264C" w:rsidP="0058563F">
      <w:pPr>
        <w:spacing w:before="100" w:beforeAutospacing="1" w:after="100" w:afterAutospacing="1" w:line="240" w:lineRule="auto"/>
        <w:jc w:val="both"/>
        <w:outlineLvl w:val="0"/>
        <w:rPr>
          <w:rFonts w:ascii="Arial" w:hAnsi="Arial" w:cs="Arial"/>
          <w:sz w:val="24"/>
          <w:szCs w:val="24"/>
        </w:rPr>
      </w:pPr>
      <w:r w:rsidRPr="005828A7">
        <w:rPr>
          <w:rFonts w:ascii="Arial" w:eastAsia="Times New Roman" w:hAnsi="Arial" w:cs="Arial"/>
          <w:b/>
          <w:snapToGrid w:val="0"/>
          <w:color w:val="000000"/>
          <w:sz w:val="24"/>
          <w:szCs w:val="24"/>
          <w:lang w:val="en-GB"/>
        </w:rPr>
        <w:t>REPLY:</w:t>
      </w:r>
      <w:r w:rsidR="005E60F0" w:rsidRPr="005828A7">
        <w:rPr>
          <w:rFonts w:ascii="Arial" w:hAnsi="Arial" w:cs="Arial"/>
          <w:sz w:val="24"/>
          <w:szCs w:val="24"/>
        </w:rPr>
        <w:tab/>
      </w:r>
      <w:r w:rsidR="005E60F0" w:rsidRPr="005828A7">
        <w:rPr>
          <w:rFonts w:ascii="Arial" w:hAnsi="Arial" w:cs="Arial"/>
          <w:sz w:val="24"/>
          <w:szCs w:val="24"/>
        </w:rPr>
        <w:tab/>
      </w:r>
    </w:p>
    <w:p w:rsidR="00174A92" w:rsidRPr="005828A7" w:rsidRDefault="00174A92" w:rsidP="00800EA5">
      <w:pPr>
        <w:pStyle w:val="ListParagraph"/>
        <w:numPr>
          <w:ilvl w:val="0"/>
          <w:numId w:val="17"/>
        </w:numPr>
        <w:jc w:val="both"/>
        <w:rPr>
          <w:rFonts w:ascii="Arial" w:hAnsi="Arial" w:cs="Arial"/>
          <w:color w:val="212121"/>
          <w:sz w:val="24"/>
          <w:szCs w:val="24"/>
        </w:rPr>
      </w:pPr>
      <w:r w:rsidRPr="005828A7">
        <w:rPr>
          <w:rFonts w:ascii="Arial" w:hAnsi="Arial" w:cs="Arial"/>
          <w:color w:val="212121"/>
          <w:sz w:val="24"/>
          <w:szCs w:val="24"/>
        </w:rPr>
        <w:t xml:space="preserve">SASSA clients are divided into two groups. Those who receive social grants and those that receive </w:t>
      </w:r>
      <w:r w:rsidR="00A064E1">
        <w:rPr>
          <w:rFonts w:ascii="Arial" w:hAnsi="Arial" w:cs="Arial"/>
          <w:color w:val="212121"/>
          <w:sz w:val="24"/>
          <w:szCs w:val="24"/>
        </w:rPr>
        <w:t xml:space="preserve">the </w:t>
      </w:r>
      <w:r w:rsidRPr="005828A7">
        <w:rPr>
          <w:rFonts w:ascii="Arial" w:hAnsi="Arial" w:cs="Arial"/>
          <w:color w:val="212121"/>
          <w:sz w:val="24"/>
          <w:szCs w:val="24"/>
        </w:rPr>
        <w:t>Social Relief of Distress (SRD), including the COVID</w:t>
      </w:r>
      <w:r w:rsidR="005C0D4A" w:rsidRPr="005828A7">
        <w:rPr>
          <w:rFonts w:ascii="Arial" w:hAnsi="Arial" w:cs="Arial"/>
          <w:color w:val="212121"/>
          <w:sz w:val="24"/>
          <w:szCs w:val="24"/>
        </w:rPr>
        <w:t>-19</w:t>
      </w:r>
      <w:r w:rsidRPr="005828A7">
        <w:rPr>
          <w:rFonts w:ascii="Arial" w:hAnsi="Arial" w:cs="Arial"/>
          <w:color w:val="212121"/>
          <w:sz w:val="24"/>
          <w:szCs w:val="24"/>
        </w:rPr>
        <w:t xml:space="preserve"> SRD.</w:t>
      </w:r>
    </w:p>
    <w:p w:rsidR="00174A92" w:rsidRPr="005828A7" w:rsidRDefault="00174A92" w:rsidP="00800EA5">
      <w:pPr>
        <w:pStyle w:val="ListParagraph"/>
        <w:jc w:val="both"/>
        <w:rPr>
          <w:rFonts w:ascii="Arial" w:hAnsi="Arial" w:cs="Arial"/>
          <w:color w:val="212121"/>
          <w:sz w:val="24"/>
          <w:szCs w:val="24"/>
        </w:rPr>
      </w:pPr>
    </w:p>
    <w:p w:rsidR="00174A92" w:rsidRPr="005828A7" w:rsidRDefault="00174A92" w:rsidP="00800EA5">
      <w:pPr>
        <w:pStyle w:val="ListParagraph"/>
        <w:numPr>
          <w:ilvl w:val="0"/>
          <w:numId w:val="19"/>
        </w:numPr>
        <w:jc w:val="both"/>
        <w:rPr>
          <w:rFonts w:ascii="Arial" w:hAnsi="Arial" w:cs="Arial"/>
          <w:color w:val="212121"/>
          <w:sz w:val="24"/>
          <w:szCs w:val="24"/>
        </w:rPr>
      </w:pPr>
      <w:r w:rsidRPr="005828A7">
        <w:rPr>
          <w:rFonts w:ascii="Arial" w:hAnsi="Arial" w:cs="Arial"/>
          <w:color w:val="212121"/>
          <w:sz w:val="24"/>
          <w:szCs w:val="24"/>
        </w:rPr>
        <w:t>No social grants or SRD, with the exception of SRD for disasters, are paid in person as all grants are paid into bank account</w:t>
      </w:r>
      <w:r w:rsidR="00A064E1">
        <w:rPr>
          <w:rFonts w:ascii="Arial" w:hAnsi="Arial" w:cs="Arial"/>
          <w:color w:val="212121"/>
          <w:sz w:val="24"/>
          <w:szCs w:val="24"/>
        </w:rPr>
        <w:t>s</w:t>
      </w:r>
      <w:r w:rsidRPr="005828A7">
        <w:rPr>
          <w:rFonts w:ascii="Arial" w:hAnsi="Arial" w:cs="Arial"/>
          <w:color w:val="212121"/>
          <w:sz w:val="24"/>
          <w:szCs w:val="24"/>
        </w:rPr>
        <w:t xml:space="preserve"> or via a mobile money option.</w:t>
      </w:r>
    </w:p>
    <w:p w:rsidR="00174A92" w:rsidRPr="005828A7" w:rsidRDefault="00174A92" w:rsidP="00800EA5">
      <w:pPr>
        <w:pStyle w:val="ListParagraph"/>
        <w:ind w:left="1440"/>
        <w:jc w:val="both"/>
        <w:rPr>
          <w:rFonts w:ascii="Arial" w:hAnsi="Arial" w:cs="Arial"/>
          <w:color w:val="212121"/>
          <w:sz w:val="24"/>
          <w:szCs w:val="24"/>
        </w:rPr>
      </w:pPr>
    </w:p>
    <w:p w:rsidR="00174A92" w:rsidRPr="005828A7" w:rsidRDefault="00174A92" w:rsidP="00800EA5">
      <w:pPr>
        <w:pStyle w:val="ListParagraph"/>
        <w:ind w:left="1440"/>
        <w:jc w:val="both"/>
        <w:rPr>
          <w:rFonts w:ascii="Arial" w:hAnsi="Arial" w:cs="Arial"/>
          <w:color w:val="212121"/>
          <w:sz w:val="24"/>
          <w:szCs w:val="24"/>
        </w:rPr>
      </w:pPr>
      <w:r w:rsidRPr="005828A7">
        <w:rPr>
          <w:rFonts w:ascii="Arial" w:hAnsi="Arial" w:cs="Arial"/>
          <w:color w:val="212121"/>
          <w:sz w:val="24"/>
          <w:szCs w:val="24"/>
        </w:rPr>
        <w:t>SRD for disasters are provided in</w:t>
      </w:r>
      <w:r w:rsidR="00A064E1">
        <w:rPr>
          <w:rFonts w:ascii="Arial" w:hAnsi="Arial" w:cs="Arial"/>
          <w:color w:val="212121"/>
          <w:sz w:val="24"/>
          <w:szCs w:val="24"/>
        </w:rPr>
        <w:t>-</w:t>
      </w:r>
      <w:r w:rsidRPr="005828A7">
        <w:rPr>
          <w:rFonts w:ascii="Arial" w:hAnsi="Arial" w:cs="Arial"/>
          <w:color w:val="212121"/>
          <w:sz w:val="24"/>
          <w:szCs w:val="24"/>
        </w:rPr>
        <w:t>kind</w:t>
      </w:r>
      <w:r w:rsidR="00A064E1">
        <w:rPr>
          <w:rFonts w:ascii="Arial" w:hAnsi="Arial" w:cs="Arial"/>
          <w:color w:val="212121"/>
          <w:sz w:val="24"/>
          <w:szCs w:val="24"/>
        </w:rPr>
        <w:t xml:space="preserve">. This is in the form of </w:t>
      </w:r>
      <w:r w:rsidRPr="005828A7">
        <w:rPr>
          <w:rFonts w:ascii="Arial" w:hAnsi="Arial" w:cs="Arial"/>
          <w:color w:val="212121"/>
          <w:sz w:val="24"/>
          <w:szCs w:val="24"/>
        </w:rPr>
        <w:t>food, blankets, mattresses, etc</w:t>
      </w:r>
      <w:r w:rsidR="00A064E1">
        <w:rPr>
          <w:rFonts w:ascii="Arial" w:hAnsi="Arial" w:cs="Arial"/>
          <w:color w:val="212121"/>
          <w:sz w:val="24"/>
          <w:szCs w:val="24"/>
        </w:rPr>
        <w:t>. that are</w:t>
      </w:r>
      <w:r w:rsidRPr="005828A7">
        <w:rPr>
          <w:rFonts w:ascii="Arial" w:hAnsi="Arial" w:cs="Arial"/>
          <w:color w:val="212121"/>
          <w:sz w:val="24"/>
          <w:szCs w:val="24"/>
        </w:rPr>
        <w:t xml:space="preserve"> supplied to individuals in shelters; or </w:t>
      </w:r>
      <w:r w:rsidR="00A064E1">
        <w:rPr>
          <w:rFonts w:ascii="Arial" w:hAnsi="Arial" w:cs="Arial"/>
          <w:color w:val="212121"/>
          <w:sz w:val="24"/>
          <w:szCs w:val="24"/>
        </w:rPr>
        <w:t xml:space="preserve">as </w:t>
      </w:r>
      <w:r w:rsidRPr="005828A7">
        <w:rPr>
          <w:rFonts w:ascii="Arial" w:hAnsi="Arial" w:cs="Arial"/>
          <w:color w:val="212121"/>
          <w:sz w:val="24"/>
          <w:szCs w:val="24"/>
        </w:rPr>
        <w:t>voucher</w:t>
      </w:r>
      <w:r w:rsidR="00A064E1">
        <w:rPr>
          <w:rFonts w:ascii="Arial" w:hAnsi="Arial" w:cs="Arial"/>
          <w:color w:val="212121"/>
          <w:sz w:val="24"/>
          <w:szCs w:val="24"/>
        </w:rPr>
        <w:t xml:space="preserve">s that can be </w:t>
      </w:r>
      <w:r w:rsidRPr="005828A7">
        <w:rPr>
          <w:rFonts w:ascii="Arial" w:hAnsi="Arial" w:cs="Arial"/>
          <w:color w:val="212121"/>
          <w:sz w:val="24"/>
          <w:szCs w:val="24"/>
        </w:rPr>
        <w:t xml:space="preserve">redeem at merchants. </w:t>
      </w:r>
      <w:r w:rsidR="005C0D4A" w:rsidRPr="005828A7">
        <w:rPr>
          <w:rFonts w:ascii="Arial" w:hAnsi="Arial" w:cs="Arial"/>
          <w:color w:val="212121"/>
          <w:sz w:val="24"/>
          <w:szCs w:val="24"/>
        </w:rPr>
        <w:t xml:space="preserve"> </w:t>
      </w:r>
    </w:p>
    <w:p w:rsidR="00174A92" w:rsidRPr="005828A7" w:rsidRDefault="00174A92" w:rsidP="00800EA5">
      <w:pPr>
        <w:pStyle w:val="ListParagraph"/>
        <w:ind w:left="1440"/>
        <w:jc w:val="both"/>
        <w:rPr>
          <w:rFonts w:ascii="Arial" w:hAnsi="Arial" w:cs="Arial"/>
          <w:color w:val="212121"/>
          <w:sz w:val="24"/>
          <w:szCs w:val="24"/>
        </w:rPr>
      </w:pPr>
    </w:p>
    <w:p w:rsidR="00174A92" w:rsidRPr="005828A7" w:rsidRDefault="00A064E1" w:rsidP="00800EA5">
      <w:pPr>
        <w:pStyle w:val="ListParagraph"/>
        <w:ind w:left="1440"/>
        <w:jc w:val="both"/>
        <w:rPr>
          <w:rFonts w:ascii="Arial" w:hAnsi="Arial" w:cs="Arial"/>
          <w:color w:val="212121"/>
          <w:sz w:val="24"/>
          <w:szCs w:val="24"/>
        </w:rPr>
      </w:pPr>
      <w:r>
        <w:rPr>
          <w:rFonts w:ascii="Arial" w:hAnsi="Arial" w:cs="Arial"/>
          <w:color w:val="212121"/>
          <w:sz w:val="24"/>
          <w:szCs w:val="24"/>
        </w:rPr>
        <w:lastRenderedPageBreak/>
        <w:t>In rural areas</w:t>
      </w:r>
      <w:r w:rsidRPr="00A064E1">
        <w:rPr>
          <w:rFonts w:ascii="Arial" w:hAnsi="Arial" w:cs="Arial"/>
          <w:color w:val="212121"/>
          <w:sz w:val="24"/>
          <w:szCs w:val="24"/>
        </w:rPr>
        <w:t xml:space="preserve"> </w:t>
      </w:r>
      <w:r w:rsidRPr="005828A7">
        <w:rPr>
          <w:rFonts w:ascii="Arial" w:hAnsi="Arial" w:cs="Arial"/>
          <w:color w:val="212121"/>
          <w:sz w:val="24"/>
          <w:szCs w:val="24"/>
        </w:rPr>
        <w:t>where normal banking infrastructure is limited</w:t>
      </w:r>
      <w:r>
        <w:rPr>
          <w:rFonts w:ascii="Arial" w:hAnsi="Arial" w:cs="Arial"/>
          <w:color w:val="212121"/>
          <w:sz w:val="24"/>
          <w:szCs w:val="24"/>
        </w:rPr>
        <w:t xml:space="preserve">, the </w:t>
      </w:r>
      <w:r w:rsidR="00174A92" w:rsidRPr="005828A7">
        <w:rPr>
          <w:rFonts w:ascii="Arial" w:hAnsi="Arial" w:cs="Arial"/>
          <w:color w:val="212121"/>
          <w:sz w:val="24"/>
          <w:szCs w:val="24"/>
        </w:rPr>
        <w:t>Post</w:t>
      </w:r>
      <w:r>
        <w:rPr>
          <w:rFonts w:ascii="Arial" w:hAnsi="Arial" w:cs="Arial"/>
          <w:color w:val="212121"/>
          <w:sz w:val="24"/>
          <w:szCs w:val="24"/>
        </w:rPr>
        <w:t>b</w:t>
      </w:r>
      <w:r w:rsidR="00174A92" w:rsidRPr="005828A7">
        <w:rPr>
          <w:rFonts w:ascii="Arial" w:hAnsi="Arial" w:cs="Arial"/>
          <w:color w:val="212121"/>
          <w:sz w:val="24"/>
          <w:szCs w:val="24"/>
        </w:rPr>
        <w:t xml:space="preserve">ank provides cash paypoints for SASSA clients to access their funds from </w:t>
      </w:r>
      <w:r>
        <w:rPr>
          <w:rFonts w:ascii="Arial" w:hAnsi="Arial" w:cs="Arial"/>
          <w:color w:val="212121"/>
          <w:sz w:val="24"/>
          <w:szCs w:val="24"/>
        </w:rPr>
        <w:t>via</w:t>
      </w:r>
      <w:r w:rsidR="00174A92" w:rsidRPr="005828A7">
        <w:rPr>
          <w:rFonts w:ascii="Arial" w:hAnsi="Arial" w:cs="Arial"/>
          <w:color w:val="212121"/>
          <w:sz w:val="24"/>
          <w:szCs w:val="24"/>
        </w:rPr>
        <w:t xml:space="preserve"> Post</w:t>
      </w:r>
      <w:r>
        <w:rPr>
          <w:rFonts w:ascii="Arial" w:hAnsi="Arial" w:cs="Arial"/>
          <w:color w:val="212121"/>
          <w:sz w:val="24"/>
          <w:szCs w:val="24"/>
        </w:rPr>
        <w:t>b</w:t>
      </w:r>
      <w:r w:rsidR="00174A92" w:rsidRPr="005828A7">
        <w:rPr>
          <w:rFonts w:ascii="Arial" w:hAnsi="Arial" w:cs="Arial"/>
          <w:color w:val="212121"/>
          <w:sz w:val="24"/>
          <w:szCs w:val="24"/>
        </w:rPr>
        <w:t>ank account</w:t>
      </w:r>
      <w:r>
        <w:rPr>
          <w:rFonts w:ascii="Arial" w:hAnsi="Arial" w:cs="Arial"/>
          <w:color w:val="212121"/>
          <w:sz w:val="24"/>
          <w:szCs w:val="24"/>
        </w:rPr>
        <w:t>s</w:t>
      </w:r>
      <w:r w:rsidR="00174A92" w:rsidRPr="005828A7">
        <w:rPr>
          <w:rFonts w:ascii="Arial" w:hAnsi="Arial" w:cs="Arial"/>
          <w:color w:val="212121"/>
          <w:sz w:val="24"/>
          <w:szCs w:val="24"/>
        </w:rPr>
        <w:t>. The number of clients who utilise this facility varies from month to month from between 100 000 to 200 000. In the month of August 2022, 118,981 clients utilised this option.</w:t>
      </w:r>
    </w:p>
    <w:p w:rsidR="00174A92" w:rsidRPr="005828A7" w:rsidRDefault="00174A92" w:rsidP="00800EA5">
      <w:pPr>
        <w:pStyle w:val="ListParagraph"/>
        <w:ind w:left="1440"/>
        <w:jc w:val="both"/>
        <w:rPr>
          <w:rFonts w:ascii="Arial" w:hAnsi="Arial" w:cs="Arial"/>
          <w:color w:val="212121"/>
          <w:sz w:val="24"/>
          <w:szCs w:val="24"/>
        </w:rPr>
      </w:pPr>
      <w:r w:rsidRPr="005828A7">
        <w:rPr>
          <w:rFonts w:ascii="Arial" w:hAnsi="Arial" w:cs="Arial"/>
          <w:color w:val="212121"/>
          <w:sz w:val="24"/>
          <w:szCs w:val="24"/>
        </w:rPr>
        <w:t xml:space="preserve">  </w:t>
      </w:r>
    </w:p>
    <w:p w:rsidR="008E3E78" w:rsidRPr="005828A7" w:rsidRDefault="00174A92" w:rsidP="00800EA5">
      <w:pPr>
        <w:pStyle w:val="ListParagraph"/>
        <w:numPr>
          <w:ilvl w:val="0"/>
          <w:numId w:val="19"/>
        </w:numPr>
        <w:jc w:val="both"/>
        <w:rPr>
          <w:rFonts w:ascii="Arial" w:hAnsi="Arial" w:cs="Arial"/>
          <w:color w:val="212121"/>
          <w:sz w:val="24"/>
          <w:szCs w:val="24"/>
        </w:rPr>
      </w:pPr>
      <w:r w:rsidRPr="005828A7">
        <w:rPr>
          <w:rFonts w:ascii="Arial" w:hAnsi="Arial" w:cs="Arial"/>
          <w:color w:val="212121"/>
          <w:sz w:val="24"/>
          <w:szCs w:val="24"/>
        </w:rPr>
        <w:t>All clients – both for SRD and social grants –</w:t>
      </w:r>
      <w:r w:rsidR="00A064E1">
        <w:rPr>
          <w:rFonts w:ascii="Arial" w:hAnsi="Arial" w:cs="Arial"/>
          <w:color w:val="212121"/>
          <w:sz w:val="24"/>
          <w:szCs w:val="24"/>
        </w:rPr>
        <w:t xml:space="preserve"> and </w:t>
      </w:r>
      <w:r w:rsidRPr="005828A7">
        <w:rPr>
          <w:rFonts w:ascii="Arial" w:hAnsi="Arial" w:cs="Arial"/>
          <w:color w:val="212121"/>
          <w:sz w:val="24"/>
          <w:szCs w:val="24"/>
        </w:rPr>
        <w:t xml:space="preserve">with the exception of those </w:t>
      </w:r>
      <w:r w:rsidR="00A064E1">
        <w:rPr>
          <w:rFonts w:ascii="Arial" w:hAnsi="Arial" w:cs="Arial"/>
          <w:color w:val="212121"/>
          <w:sz w:val="24"/>
          <w:szCs w:val="24"/>
        </w:rPr>
        <w:t xml:space="preserve">who are </w:t>
      </w:r>
      <w:r w:rsidRPr="005828A7">
        <w:rPr>
          <w:rFonts w:ascii="Arial" w:hAnsi="Arial" w:cs="Arial"/>
          <w:color w:val="212121"/>
          <w:sz w:val="24"/>
          <w:szCs w:val="24"/>
        </w:rPr>
        <w:t>paid in</w:t>
      </w:r>
      <w:r w:rsidR="00A064E1">
        <w:rPr>
          <w:rFonts w:ascii="Arial" w:hAnsi="Arial" w:cs="Arial"/>
          <w:color w:val="212121"/>
          <w:sz w:val="24"/>
          <w:szCs w:val="24"/>
        </w:rPr>
        <w:t>-</w:t>
      </w:r>
      <w:r w:rsidRPr="005828A7">
        <w:rPr>
          <w:rFonts w:ascii="Arial" w:hAnsi="Arial" w:cs="Arial"/>
          <w:color w:val="212121"/>
          <w:sz w:val="24"/>
          <w:szCs w:val="24"/>
        </w:rPr>
        <w:t>kind</w:t>
      </w:r>
      <w:r w:rsidR="00A064E1">
        <w:rPr>
          <w:rFonts w:ascii="Arial" w:hAnsi="Arial" w:cs="Arial"/>
          <w:color w:val="212121"/>
          <w:sz w:val="24"/>
          <w:szCs w:val="24"/>
        </w:rPr>
        <w:t>,</w:t>
      </w:r>
      <w:r w:rsidR="00A064E1" w:rsidRPr="00A064E1">
        <w:rPr>
          <w:rFonts w:ascii="Arial" w:hAnsi="Arial" w:cs="Arial"/>
          <w:color w:val="212121"/>
          <w:sz w:val="24"/>
          <w:szCs w:val="24"/>
        </w:rPr>
        <w:t xml:space="preserve"> </w:t>
      </w:r>
      <w:r w:rsidR="00A064E1" w:rsidRPr="005828A7">
        <w:rPr>
          <w:rFonts w:ascii="Arial" w:hAnsi="Arial" w:cs="Arial"/>
          <w:color w:val="212121"/>
          <w:sz w:val="24"/>
          <w:szCs w:val="24"/>
        </w:rPr>
        <w:t xml:space="preserve">are paid into their </w:t>
      </w:r>
      <w:r w:rsidR="00A064E1">
        <w:rPr>
          <w:rFonts w:ascii="Arial" w:hAnsi="Arial" w:cs="Arial"/>
          <w:color w:val="212121"/>
          <w:sz w:val="24"/>
          <w:szCs w:val="24"/>
        </w:rPr>
        <w:t xml:space="preserve">indicated </w:t>
      </w:r>
      <w:r w:rsidR="00A064E1" w:rsidRPr="005828A7">
        <w:rPr>
          <w:rFonts w:ascii="Arial" w:hAnsi="Arial" w:cs="Arial"/>
          <w:color w:val="212121"/>
          <w:sz w:val="24"/>
          <w:szCs w:val="24"/>
        </w:rPr>
        <w:t>bank accounts;</w:t>
      </w:r>
      <w:r w:rsidRPr="005828A7">
        <w:rPr>
          <w:rFonts w:ascii="Arial" w:hAnsi="Arial" w:cs="Arial"/>
          <w:color w:val="212121"/>
          <w:sz w:val="24"/>
          <w:szCs w:val="24"/>
        </w:rPr>
        <w:t xml:space="preserve"> and</w:t>
      </w:r>
    </w:p>
    <w:p w:rsidR="00800EA5" w:rsidRPr="005828A7" w:rsidRDefault="00800EA5" w:rsidP="00800EA5">
      <w:pPr>
        <w:pStyle w:val="ListParagraph"/>
        <w:ind w:left="1440"/>
        <w:jc w:val="both"/>
        <w:rPr>
          <w:rFonts w:ascii="Arial" w:hAnsi="Arial" w:cs="Arial"/>
          <w:color w:val="212121"/>
          <w:sz w:val="24"/>
          <w:szCs w:val="24"/>
        </w:rPr>
      </w:pPr>
    </w:p>
    <w:p w:rsidR="00174A92" w:rsidRPr="005828A7" w:rsidRDefault="00174A92" w:rsidP="00800EA5">
      <w:pPr>
        <w:pStyle w:val="ListParagraph"/>
        <w:numPr>
          <w:ilvl w:val="0"/>
          <w:numId w:val="19"/>
        </w:numPr>
        <w:jc w:val="both"/>
        <w:rPr>
          <w:rFonts w:ascii="Arial" w:hAnsi="Arial" w:cs="Arial"/>
          <w:color w:val="212121"/>
          <w:sz w:val="24"/>
          <w:szCs w:val="24"/>
        </w:rPr>
      </w:pPr>
      <w:r w:rsidRPr="005828A7">
        <w:rPr>
          <w:rFonts w:ascii="Arial" w:hAnsi="Arial" w:cs="Arial"/>
          <w:color w:val="212121"/>
          <w:sz w:val="24"/>
          <w:szCs w:val="24"/>
        </w:rPr>
        <w:t xml:space="preserve">approximately </w:t>
      </w:r>
      <w:r w:rsidR="00A064E1">
        <w:rPr>
          <w:rFonts w:ascii="Arial" w:hAnsi="Arial" w:cs="Arial"/>
          <w:color w:val="212121"/>
          <w:sz w:val="24"/>
          <w:szCs w:val="24"/>
        </w:rPr>
        <w:t xml:space="preserve">a </w:t>
      </w:r>
      <w:r w:rsidR="008E3E78" w:rsidRPr="005828A7">
        <w:rPr>
          <w:rFonts w:ascii="Arial" w:hAnsi="Arial" w:cs="Arial"/>
          <w:color w:val="212121"/>
          <w:sz w:val="24"/>
          <w:szCs w:val="24"/>
        </w:rPr>
        <w:t>100 000</w:t>
      </w:r>
      <w:r w:rsidRPr="005828A7">
        <w:rPr>
          <w:rFonts w:ascii="Arial" w:hAnsi="Arial" w:cs="Arial"/>
          <w:color w:val="212121"/>
          <w:sz w:val="24"/>
          <w:szCs w:val="24"/>
        </w:rPr>
        <w:t xml:space="preserve"> </w:t>
      </w:r>
      <w:r w:rsidR="002817C7" w:rsidRPr="005828A7">
        <w:rPr>
          <w:rFonts w:ascii="Arial" w:hAnsi="Arial" w:cs="Arial"/>
          <w:color w:val="212121"/>
          <w:sz w:val="24"/>
          <w:szCs w:val="24"/>
        </w:rPr>
        <w:t>COVID</w:t>
      </w:r>
      <w:r w:rsidR="005C0D4A" w:rsidRPr="005828A7">
        <w:rPr>
          <w:rFonts w:ascii="Arial" w:hAnsi="Arial" w:cs="Arial"/>
          <w:color w:val="212121"/>
          <w:sz w:val="24"/>
          <w:szCs w:val="24"/>
        </w:rPr>
        <w:t>-19</w:t>
      </w:r>
      <w:r w:rsidR="002817C7" w:rsidRPr="005828A7">
        <w:rPr>
          <w:rFonts w:ascii="Arial" w:hAnsi="Arial" w:cs="Arial"/>
          <w:color w:val="212121"/>
          <w:sz w:val="24"/>
          <w:szCs w:val="24"/>
        </w:rPr>
        <w:t xml:space="preserve"> </w:t>
      </w:r>
      <w:r w:rsidRPr="005828A7">
        <w:rPr>
          <w:rFonts w:ascii="Arial" w:hAnsi="Arial" w:cs="Arial"/>
          <w:color w:val="212121"/>
          <w:sz w:val="24"/>
          <w:szCs w:val="24"/>
        </w:rPr>
        <w:t>SRD clients are paid via a mobile money transfer (cash</w:t>
      </w:r>
      <w:r w:rsidR="00A064E1">
        <w:rPr>
          <w:rFonts w:ascii="Arial" w:hAnsi="Arial" w:cs="Arial"/>
          <w:color w:val="212121"/>
          <w:sz w:val="24"/>
          <w:szCs w:val="24"/>
        </w:rPr>
        <w:t xml:space="preserve"> </w:t>
      </w:r>
      <w:r w:rsidRPr="005828A7">
        <w:rPr>
          <w:rFonts w:ascii="Arial" w:hAnsi="Arial" w:cs="Arial"/>
          <w:color w:val="212121"/>
          <w:sz w:val="24"/>
          <w:szCs w:val="24"/>
        </w:rPr>
        <w:t>send) option.</w:t>
      </w:r>
    </w:p>
    <w:p w:rsidR="00A7090C" w:rsidRPr="005828A7" w:rsidRDefault="00A7090C" w:rsidP="00800EA5">
      <w:pPr>
        <w:pStyle w:val="ListParagraph"/>
        <w:ind w:left="1440"/>
        <w:jc w:val="both"/>
        <w:rPr>
          <w:rFonts w:ascii="Arial" w:hAnsi="Arial" w:cs="Arial"/>
          <w:sz w:val="24"/>
          <w:szCs w:val="24"/>
        </w:rPr>
      </w:pPr>
    </w:p>
    <w:p w:rsidR="008E3E78" w:rsidRPr="00A064E1" w:rsidRDefault="008E3E78" w:rsidP="00800EA5">
      <w:pPr>
        <w:pStyle w:val="ListParagraph"/>
        <w:numPr>
          <w:ilvl w:val="0"/>
          <w:numId w:val="17"/>
        </w:numPr>
        <w:spacing w:before="100" w:beforeAutospacing="1" w:after="100" w:afterAutospacing="1"/>
        <w:ind w:right="26"/>
        <w:jc w:val="both"/>
        <w:outlineLvl w:val="0"/>
        <w:rPr>
          <w:rFonts w:ascii="Arial" w:hAnsi="Arial" w:cs="Arial"/>
          <w:color w:val="212121"/>
          <w:sz w:val="24"/>
          <w:szCs w:val="24"/>
        </w:rPr>
      </w:pPr>
      <w:r w:rsidRPr="005828A7">
        <w:rPr>
          <w:rFonts w:ascii="Arial" w:hAnsi="Arial" w:cs="Arial"/>
          <w:sz w:val="24"/>
          <w:szCs w:val="24"/>
        </w:rPr>
        <w:t>In relation to the appeals relating to SASSA grant decisions:</w:t>
      </w:r>
    </w:p>
    <w:p w:rsidR="00A064E1" w:rsidRPr="005828A7" w:rsidRDefault="00A064E1" w:rsidP="00A064E1">
      <w:pPr>
        <w:pStyle w:val="ListParagraph"/>
        <w:spacing w:before="100" w:beforeAutospacing="1" w:after="100" w:afterAutospacing="1"/>
        <w:ind w:right="26"/>
        <w:jc w:val="both"/>
        <w:outlineLvl w:val="0"/>
        <w:rPr>
          <w:rFonts w:ascii="Arial" w:hAnsi="Arial" w:cs="Arial"/>
          <w:color w:val="212121"/>
          <w:sz w:val="24"/>
          <w:szCs w:val="24"/>
        </w:rPr>
      </w:pPr>
    </w:p>
    <w:p w:rsidR="00800EA5" w:rsidRPr="005828A7" w:rsidRDefault="008E3E78" w:rsidP="00800EA5">
      <w:pPr>
        <w:pStyle w:val="ListParagraph"/>
        <w:spacing w:before="100" w:beforeAutospacing="1" w:after="100" w:afterAutospacing="1"/>
        <w:ind w:left="1440" w:right="26" w:hanging="720"/>
        <w:jc w:val="both"/>
        <w:outlineLvl w:val="0"/>
        <w:rPr>
          <w:rFonts w:ascii="Arial" w:hAnsi="Arial" w:cs="Arial"/>
          <w:sz w:val="24"/>
          <w:szCs w:val="24"/>
          <w:lang w:val="en-US"/>
        </w:rPr>
      </w:pPr>
      <w:r w:rsidRPr="005828A7">
        <w:rPr>
          <w:rFonts w:ascii="Arial" w:hAnsi="Arial" w:cs="Arial"/>
          <w:sz w:val="24"/>
          <w:szCs w:val="24"/>
        </w:rPr>
        <w:t>(</w:t>
      </w:r>
      <w:r w:rsidR="00800EA5" w:rsidRPr="005828A7">
        <w:rPr>
          <w:rFonts w:ascii="Arial" w:hAnsi="Arial" w:cs="Arial"/>
          <w:sz w:val="24"/>
          <w:szCs w:val="24"/>
        </w:rPr>
        <w:t>a</w:t>
      </w:r>
      <w:r w:rsidRPr="005828A7">
        <w:rPr>
          <w:rFonts w:ascii="Arial" w:hAnsi="Arial" w:cs="Arial"/>
          <w:sz w:val="24"/>
          <w:szCs w:val="24"/>
        </w:rPr>
        <w:t>)</w:t>
      </w:r>
      <w:r w:rsidRPr="005828A7">
        <w:rPr>
          <w:rFonts w:ascii="Arial" w:hAnsi="Arial" w:cs="Arial"/>
          <w:sz w:val="24"/>
          <w:szCs w:val="24"/>
        </w:rPr>
        <w:tab/>
      </w:r>
      <w:r w:rsidRPr="005828A7">
        <w:rPr>
          <w:rFonts w:ascii="Arial" w:hAnsi="Arial" w:cs="Arial"/>
          <w:sz w:val="24"/>
          <w:szCs w:val="24"/>
          <w:lang w:val="en-US"/>
        </w:rPr>
        <w:t xml:space="preserve">As at 30 September 2022 the Independent Tribunal for Social Assistance Appeals (ITSAA) received a total of 2 591 appeals </w:t>
      </w:r>
      <w:r w:rsidR="000A5160">
        <w:rPr>
          <w:rFonts w:ascii="Arial" w:hAnsi="Arial" w:cs="Arial"/>
          <w:sz w:val="24"/>
          <w:szCs w:val="24"/>
          <w:lang w:val="en-US"/>
        </w:rPr>
        <w:t xml:space="preserve">that are </w:t>
      </w:r>
      <w:r w:rsidRPr="005828A7">
        <w:rPr>
          <w:rFonts w:ascii="Arial" w:hAnsi="Arial" w:cs="Arial"/>
          <w:sz w:val="24"/>
          <w:szCs w:val="24"/>
          <w:lang w:val="en-US"/>
        </w:rPr>
        <w:t>related to the decisions of SASSA on social assistance applications to various grant types. A total of 1 014 appeals have been finali</w:t>
      </w:r>
      <w:r w:rsidR="000A5160">
        <w:rPr>
          <w:rFonts w:ascii="Arial" w:hAnsi="Arial" w:cs="Arial"/>
          <w:sz w:val="24"/>
          <w:szCs w:val="24"/>
          <w:lang w:val="en-US"/>
        </w:rPr>
        <w:t>s</w:t>
      </w:r>
      <w:r w:rsidRPr="005828A7">
        <w:rPr>
          <w:rFonts w:ascii="Arial" w:hAnsi="Arial" w:cs="Arial"/>
          <w:sz w:val="24"/>
          <w:szCs w:val="24"/>
          <w:lang w:val="en-US"/>
        </w:rPr>
        <w:t xml:space="preserve">ed and 1 577 is currently in the adjudication process. The total outstanding is still within 90 days period as the related appeals were all received during August and September 2022. </w:t>
      </w:r>
    </w:p>
    <w:p w:rsidR="00800EA5" w:rsidRPr="005828A7" w:rsidRDefault="00800EA5" w:rsidP="00800EA5">
      <w:pPr>
        <w:pStyle w:val="ListParagraph"/>
        <w:spacing w:before="100" w:beforeAutospacing="1" w:after="100" w:afterAutospacing="1"/>
        <w:ind w:left="1440" w:right="26" w:hanging="720"/>
        <w:jc w:val="both"/>
        <w:outlineLvl w:val="0"/>
        <w:rPr>
          <w:rFonts w:ascii="Arial" w:hAnsi="Arial" w:cs="Arial"/>
          <w:sz w:val="24"/>
          <w:szCs w:val="24"/>
          <w:lang w:val="en-US"/>
        </w:rPr>
      </w:pPr>
    </w:p>
    <w:p w:rsidR="008E3E78" w:rsidRPr="005828A7" w:rsidRDefault="00800EA5" w:rsidP="00800EA5">
      <w:pPr>
        <w:pStyle w:val="ListParagraph"/>
        <w:spacing w:before="100" w:beforeAutospacing="1" w:after="100" w:afterAutospacing="1"/>
        <w:ind w:left="1440" w:right="26" w:hanging="720"/>
        <w:jc w:val="both"/>
        <w:outlineLvl w:val="0"/>
        <w:rPr>
          <w:rFonts w:ascii="Arial" w:hAnsi="Arial" w:cs="Arial"/>
          <w:sz w:val="24"/>
          <w:szCs w:val="24"/>
          <w:lang w:val="en-US"/>
        </w:rPr>
      </w:pPr>
      <w:r w:rsidRPr="005828A7">
        <w:rPr>
          <w:rFonts w:ascii="Arial" w:hAnsi="Arial" w:cs="Arial"/>
          <w:sz w:val="24"/>
          <w:szCs w:val="24"/>
          <w:lang w:val="en-US"/>
        </w:rPr>
        <w:t>(b)</w:t>
      </w:r>
      <w:r w:rsidRPr="005828A7">
        <w:rPr>
          <w:rFonts w:ascii="Arial" w:hAnsi="Arial" w:cs="Arial"/>
          <w:sz w:val="24"/>
          <w:szCs w:val="24"/>
          <w:lang w:val="en-US"/>
        </w:rPr>
        <w:tab/>
      </w:r>
      <w:r w:rsidR="008E3E78" w:rsidRPr="005828A7">
        <w:rPr>
          <w:rFonts w:ascii="Arial" w:hAnsi="Arial" w:cs="Arial"/>
          <w:sz w:val="24"/>
          <w:szCs w:val="24"/>
          <w:lang w:val="en-US"/>
        </w:rPr>
        <w:t>The appeals are disaggregated as follows in terms, of the various grant types:</w:t>
      </w:r>
    </w:p>
    <w:tbl>
      <w:tblPr>
        <w:tblStyle w:val="TableGrid"/>
        <w:tblW w:w="0" w:type="auto"/>
        <w:tblLayout w:type="fixed"/>
        <w:tblLook w:val="04A0"/>
      </w:tblPr>
      <w:tblGrid>
        <w:gridCol w:w="2547"/>
        <w:gridCol w:w="1984"/>
        <w:gridCol w:w="2694"/>
        <w:gridCol w:w="1791"/>
      </w:tblGrid>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Grant Type</w:t>
            </w:r>
          </w:p>
        </w:tc>
        <w:tc>
          <w:tcPr>
            <w:tcW w:w="1984"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Total Received</w:t>
            </w:r>
          </w:p>
        </w:tc>
        <w:tc>
          <w:tcPr>
            <w:tcW w:w="2694"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Total Adjudicated</w:t>
            </w:r>
          </w:p>
        </w:tc>
        <w:tc>
          <w:tcPr>
            <w:tcW w:w="1791"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Outstanding</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DISABILITY GRANT</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2 335</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933</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1 402</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OLD AGE GRANT</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95</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29</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66</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CARE DEPENDENCY GRANT</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77</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24</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53</w:t>
            </w:r>
          </w:p>
        </w:tc>
      </w:tr>
      <w:tr w:rsidR="008E3E78" w:rsidRPr="005828A7" w:rsidTr="004D42FA">
        <w:tc>
          <w:tcPr>
            <w:tcW w:w="2547" w:type="dxa"/>
          </w:tcPr>
          <w:p w:rsidR="008E3E78" w:rsidRPr="005828A7" w:rsidRDefault="008E3E78" w:rsidP="000A5160">
            <w:pPr>
              <w:spacing w:line="276" w:lineRule="auto"/>
              <w:jc w:val="both"/>
              <w:rPr>
                <w:rFonts w:ascii="Arial" w:hAnsi="Arial" w:cs="Arial"/>
                <w:b/>
                <w:bCs/>
                <w:sz w:val="24"/>
                <w:szCs w:val="24"/>
                <w:lang w:val="en-US"/>
              </w:rPr>
            </w:pPr>
            <w:r w:rsidRPr="005828A7">
              <w:rPr>
                <w:rFonts w:ascii="Arial" w:hAnsi="Arial" w:cs="Arial"/>
                <w:b/>
                <w:bCs/>
                <w:sz w:val="24"/>
                <w:szCs w:val="24"/>
                <w:lang w:val="en-US"/>
              </w:rPr>
              <w:t>GRANT</w:t>
            </w:r>
            <w:r w:rsidR="000A5160">
              <w:rPr>
                <w:rFonts w:ascii="Arial" w:hAnsi="Arial" w:cs="Arial"/>
                <w:b/>
                <w:bCs/>
                <w:sz w:val="24"/>
                <w:szCs w:val="24"/>
                <w:lang w:val="en-US"/>
              </w:rPr>
              <w:t>-</w:t>
            </w:r>
            <w:r w:rsidRPr="005828A7">
              <w:rPr>
                <w:rFonts w:ascii="Arial" w:hAnsi="Arial" w:cs="Arial"/>
                <w:b/>
                <w:bCs/>
                <w:sz w:val="24"/>
                <w:szCs w:val="24"/>
                <w:lang w:val="en-US"/>
              </w:rPr>
              <w:t>IN</w:t>
            </w:r>
            <w:r w:rsidR="000A5160">
              <w:rPr>
                <w:rFonts w:ascii="Arial" w:hAnsi="Arial" w:cs="Arial"/>
                <w:b/>
                <w:bCs/>
                <w:sz w:val="24"/>
                <w:szCs w:val="24"/>
                <w:lang w:val="en-US"/>
              </w:rPr>
              <w:t>-</w:t>
            </w:r>
            <w:r w:rsidRPr="005828A7">
              <w:rPr>
                <w:rFonts w:ascii="Arial" w:hAnsi="Arial" w:cs="Arial"/>
                <w:b/>
                <w:bCs/>
                <w:sz w:val="24"/>
                <w:szCs w:val="24"/>
                <w:lang w:val="en-US"/>
              </w:rPr>
              <w:t>AID</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50</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24</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26</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FOSTER CARE GRANT</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CHILD SUPPORT GRANT</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33</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3</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30</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WAR VETERANS GRANT</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SRD (NORMAL)</w:t>
            </w:r>
          </w:p>
        </w:tc>
        <w:tc>
          <w:tcPr>
            <w:tcW w:w="198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1</w:t>
            </w:r>
          </w:p>
        </w:tc>
        <w:tc>
          <w:tcPr>
            <w:tcW w:w="2694"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1</w:t>
            </w:r>
          </w:p>
        </w:tc>
        <w:tc>
          <w:tcPr>
            <w:tcW w:w="1791" w:type="dxa"/>
          </w:tcPr>
          <w:p w:rsidR="008E3E78" w:rsidRPr="005828A7" w:rsidRDefault="008E3E78" w:rsidP="00800EA5">
            <w:pPr>
              <w:spacing w:line="276" w:lineRule="auto"/>
              <w:jc w:val="right"/>
              <w:rPr>
                <w:rFonts w:ascii="Arial" w:hAnsi="Arial" w:cs="Arial"/>
                <w:sz w:val="24"/>
                <w:szCs w:val="24"/>
                <w:lang w:val="en-US"/>
              </w:rPr>
            </w:pPr>
            <w:r w:rsidRPr="005828A7">
              <w:rPr>
                <w:rFonts w:ascii="Arial" w:hAnsi="Arial" w:cs="Arial"/>
                <w:sz w:val="24"/>
                <w:szCs w:val="24"/>
                <w:lang w:val="en-US"/>
              </w:rPr>
              <w:t>0</w:t>
            </w:r>
          </w:p>
        </w:tc>
      </w:tr>
      <w:tr w:rsidR="008E3E78" w:rsidRPr="005828A7" w:rsidTr="004D42FA">
        <w:tc>
          <w:tcPr>
            <w:tcW w:w="2547"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GRAND TOTAL</w:t>
            </w:r>
          </w:p>
        </w:tc>
        <w:tc>
          <w:tcPr>
            <w:tcW w:w="1984" w:type="dxa"/>
          </w:tcPr>
          <w:p w:rsidR="008E3E78" w:rsidRPr="005828A7" w:rsidRDefault="008E3E78" w:rsidP="00800EA5">
            <w:pPr>
              <w:spacing w:line="276" w:lineRule="auto"/>
              <w:jc w:val="right"/>
              <w:rPr>
                <w:rFonts w:ascii="Arial" w:hAnsi="Arial" w:cs="Arial"/>
                <w:b/>
                <w:bCs/>
                <w:sz w:val="24"/>
                <w:szCs w:val="24"/>
                <w:lang w:val="en-US"/>
              </w:rPr>
            </w:pPr>
            <w:r w:rsidRPr="005828A7">
              <w:rPr>
                <w:rFonts w:ascii="Arial" w:hAnsi="Arial" w:cs="Arial"/>
                <w:b/>
                <w:bCs/>
                <w:sz w:val="24"/>
                <w:szCs w:val="24"/>
                <w:lang w:val="en-US"/>
              </w:rPr>
              <w:t>2 591</w:t>
            </w:r>
          </w:p>
        </w:tc>
        <w:tc>
          <w:tcPr>
            <w:tcW w:w="2694" w:type="dxa"/>
          </w:tcPr>
          <w:p w:rsidR="008E3E78" w:rsidRPr="005828A7" w:rsidRDefault="008E3E78" w:rsidP="00800EA5">
            <w:pPr>
              <w:spacing w:line="276" w:lineRule="auto"/>
              <w:jc w:val="right"/>
              <w:rPr>
                <w:rFonts w:ascii="Arial" w:hAnsi="Arial" w:cs="Arial"/>
                <w:b/>
                <w:bCs/>
                <w:sz w:val="24"/>
                <w:szCs w:val="24"/>
                <w:lang w:val="en-US"/>
              </w:rPr>
            </w:pPr>
            <w:r w:rsidRPr="005828A7">
              <w:rPr>
                <w:rFonts w:ascii="Arial" w:hAnsi="Arial" w:cs="Arial"/>
                <w:b/>
                <w:bCs/>
                <w:sz w:val="24"/>
                <w:szCs w:val="24"/>
                <w:lang w:val="en-US"/>
              </w:rPr>
              <w:t>1 014</w:t>
            </w:r>
          </w:p>
        </w:tc>
        <w:tc>
          <w:tcPr>
            <w:tcW w:w="1791" w:type="dxa"/>
          </w:tcPr>
          <w:p w:rsidR="008E3E78" w:rsidRPr="005828A7" w:rsidRDefault="008E3E78" w:rsidP="00800EA5">
            <w:pPr>
              <w:spacing w:line="276" w:lineRule="auto"/>
              <w:jc w:val="right"/>
              <w:rPr>
                <w:rFonts w:ascii="Arial" w:hAnsi="Arial" w:cs="Arial"/>
                <w:b/>
                <w:bCs/>
                <w:sz w:val="24"/>
                <w:szCs w:val="24"/>
                <w:lang w:val="en-US"/>
              </w:rPr>
            </w:pPr>
            <w:r w:rsidRPr="005828A7">
              <w:rPr>
                <w:rFonts w:ascii="Arial" w:hAnsi="Arial" w:cs="Arial"/>
                <w:b/>
                <w:bCs/>
                <w:sz w:val="24"/>
                <w:szCs w:val="24"/>
                <w:lang w:val="en-US"/>
              </w:rPr>
              <w:t>1 577</w:t>
            </w:r>
          </w:p>
        </w:tc>
      </w:tr>
    </w:tbl>
    <w:p w:rsidR="008E3E78" w:rsidRPr="005828A7" w:rsidRDefault="008E3E78" w:rsidP="00800EA5">
      <w:pPr>
        <w:jc w:val="both"/>
        <w:rPr>
          <w:sz w:val="24"/>
          <w:szCs w:val="24"/>
          <w:lang w:val="en-US"/>
        </w:rPr>
      </w:pP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r w:rsidRPr="005828A7">
        <w:rPr>
          <w:sz w:val="24"/>
          <w:szCs w:val="24"/>
          <w:lang w:val="en-US"/>
        </w:rPr>
        <w:tab/>
      </w:r>
    </w:p>
    <w:p w:rsidR="008E3E78" w:rsidRPr="005828A7" w:rsidRDefault="008E3E78" w:rsidP="00800EA5">
      <w:pPr>
        <w:pStyle w:val="ListParagraph"/>
        <w:ind w:left="1440"/>
        <w:jc w:val="both"/>
        <w:rPr>
          <w:rFonts w:ascii="Arial" w:hAnsi="Arial" w:cs="Arial"/>
          <w:sz w:val="24"/>
          <w:szCs w:val="24"/>
          <w:lang w:val="en-US"/>
        </w:rPr>
      </w:pPr>
      <w:r w:rsidRPr="005828A7">
        <w:rPr>
          <w:rFonts w:ascii="Arial" w:hAnsi="Arial" w:cs="Arial"/>
          <w:sz w:val="24"/>
          <w:szCs w:val="24"/>
          <w:lang w:val="en-US"/>
        </w:rPr>
        <w:t xml:space="preserve">In addition to the above, as at 30 September 2022, the Independent Tribunal received a total of 3 595 147 appeals in respect of the </w:t>
      </w:r>
      <w:r w:rsidR="000A5160">
        <w:rPr>
          <w:rFonts w:ascii="Arial" w:hAnsi="Arial" w:cs="Arial"/>
          <w:sz w:val="24"/>
          <w:szCs w:val="24"/>
          <w:lang w:val="en-US"/>
        </w:rPr>
        <w:t>third (current)</w:t>
      </w:r>
      <w:r w:rsidRPr="005828A7">
        <w:rPr>
          <w:rFonts w:ascii="Arial" w:hAnsi="Arial" w:cs="Arial"/>
          <w:sz w:val="24"/>
          <w:szCs w:val="24"/>
          <w:lang w:val="en-US"/>
        </w:rPr>
        <w:t xml:space="preserve"> iteration of the Covid-19 SRD for the period of April 2022 to July 2022. The appeals were recorded for April, May, June and July totaling 1 165 369, 1 297 776, 516 442 and 588</w:t>
      </w:r>
      <w:r w:rsidR="000A5160">
        <w:rPr>
          <w:rFonts w:ascii="Arial" w:hAnsi="Arial" w:cs="Arial"/>
          <w:sz w:val="24"/>
          <w:szCs w:val="24"/>
          <w:lang w:val="en-US"/>
        </w:rPr>
        <w:t> </w:t>
      </w:r>
      <w:r w:rsidRPr="005828A7">
        <w:rPr>
          <w:rFonts w:ascii="Arial" w:hAnsi="Arial" w:cs="Arial"/>
          <w:sz w:val="24"/>
          <w:szCs w:val="24"/>
          <w:lang w:val="en-US"/>
        </w:rPr>
        <w:t>401</w:t>
      </w:r>
      <w:r w:rsidR="000A5160">
        <w:rPr>
          <w:rFonts w:ascii="Arial" w:hAnsi="Arial" w:cs="Arial"/>
          <w:sz w:val="24"/>
          <w:szCs w:val="24"/>
          <w:lang w:val="en-US"/>
        </w:rPr>
        <w:t>,</w:t>
      </w:r>
      <w:r w:rsidRPr="005828A7">
        <w:rPr>
          <w:rFonts w:ascii="Arial" w:hAnsi="Arial" w:cs="Arial"/>
          <w:sz w:val="24"/>
          <w:szCs w:val="24"/>
          <w:lang w:val="en-US"/>
        </w:rPr>
        <w:t xml:space="preserve"> respectively. Some appeals related to </w:t>
      </w:r>
      <w:r w:rsidR="00800EA5" w:rsidRPr="005828A7">
        <w:rPr>
          <w:rFonts w:ascii="Arial" w:hAnsi="Arial" w:cs="Arial"/>
          <w:sz w:val="24"/>
          <w:szCs w:val="24"/>
          <w:lang w:val="en-US"/>
        </w:rPr>
        <w:t xml:space="preserve">the month of </w:t>
      </w:r>
      <w:r w:rsidRPr="005828A7">
        <w:rPr>
          <w:rFonts w:ascii="Arial" w:hAnsi="Arial" w:cs="Arial"/>
          <w:sz w:val="24"/>
          <w:szCs w:val="24"/>
          <w:lang w:val="en-US"/>
        </w:rPr>
        <w:t xml:space="preserve">June </w:t>
      </w:r>
      <w:r w:rsidR="00800EA5" w:rsidRPr="005828A7">
        <w:rPr>
          <w:rFonts w:ascii="Arial" w:hAnsi="Arial" w:cs="Arial"/>
          <w:sz w:val="24"/>
          <w:szCs w:val="24"/>
          <w:lang w:val="en-US"/>
        </w:rPr>
        <w:t xml:space="preserve">2022, </w:t>
      </w:r>
      <w:r w:rsidR="000A5160">
        <w:rPr>
          <w:rFonts w:ascii="Arial" w:hAnsi="Arial" w:cs="Arial"/>
          <w:sz w:val="24"/>
          <w:szCs w:val="24"/>
          <w:lang w:val="en-US"/>
        </w:rPr>
        <w:t xml:space="preserve">the </w:t>
      </w:r>
      <w:r w:rsidRPr="005828A7">
        <w:rPr>
          <w:rFonts w:ascii="Arial" w:hAnsi="Arial" w:cs="Arial"/>
          <w:sz w:val="24"/>
          <w:szCs w:val="24"/>
          <w:lang w:val="en-US"/>
        </w:rPr>
        <w:t>90</w:t>
      </w:r>
      <w:r w:rsidR="000A5160">
        <w:rPr>
          <w:rFonts w:ascii="Arial" w:hAnsi="Arial" w:cs="Arial"/>
          <w:sz w:val="24"/>
          <w:szCs w:val="24"/>
          <w:lang w:val="en-US"/>
        </w:rPr>
        <w:t>-</w:t>
      </w:r>
      <w:r w:rsidRPr="005828A7">
        <w:rPr>
          <w:rFonts w:ascii="Arial" w:hAnsi="Arial" w:cs="Arial"/>
          <w:sz w:val="24"/>
          <w:szCs w:val="24"/>
          <w:lang w:val="en-US"/>
        </w:rPr>
        <w:t>day</w:t>
      </w:r>
      <w:r w:rsidR="000A5160">
        <w:rPr>
          <w:rFonts w:ascii="Arial" w:hAnsi="Arial" w:cs="Arial"/>
          <w:sz w:val="24"/>
          <w:szCs w:val="24"/>
          <w:lang w:val="en-US"/>
        </w:rPr>
        <w:t>s</w:t>
      </w:r>
      <w:r w:rsidRPr="005828A7">
        <w:rPr>
          <w:rFonts w:ascii="Arial" w:hAnsi="Arial" w:cs="Arial"/>
          <w:sz w:val="24"/>
          <w:szCs w:val="24"/>
          <w:lang w:val="en-US"/>
        </w:rPr>
        <w:t xml:space="preserve"> period expired during the 1</w:t>
      </w:r>
      <w:r w:rsidRPr="005828A7">
        <w:rPr>
          <w:rFonts w:ascii="Arial" w:hAnsi="Arial" w:cs="Arial"/>
          <w:sz w:val="24"/>
          <w:szCs w:val="24"/>
          <w:vertAlign w:val="superscript"/>
          <w:lang w:val="en-US"/>
        </w:rPr>
        <w:t>st</w:t>
      </w:r>
      <w:r w:rsidRPr="005828A7">
        <w:rPr>
          <w:rFonts w:ascii="Arial" w:hAnsi="Arial" w:cs="Arial"/>
          <w:sz w:val="24"/>
          <w:szCs w:val="24"/>
          <w:lang w:val="en-US"/>
        </w:rPr>
        <w:t xml:space="preserve"> week of October 2022</w:t>
      </w:r>
      <w:r w:rsidR="000A5160">
        <w:rPr>
          <w:rFonts w:ascii="Arial" w:hAnsi="Arial" w:cs="Arial"/>
          <w:sz w:val="24"/>
          <w:szCs w:val="24"/>
          <w:lang w:val="en-US"/>
        </w:rPr>
        <w:t>.</w:t>
      </w:r>
      <w:r w:rsidRPr="005828A7">
        <w:rPr>
          <w:rFonts w:ascii="Arial" w:hAnsi="Arial" w:cs="Arial"/>
          <w:sz w:val="24"/>
          <w:szCs w:val="24"/>
          <w:lang w:val="en-US"/>
        </w:rPr>
        <w:t xml:space="preserve"> However, the Independent Tribunal has adjudicated all appeals received against the Covid-19 SRD applications declined by SASSA for the month of June 2022. The rest of the appeals </w:t>
      </w:r>
      <w:r w:rsidR="000A5160">
        <w:rPr>
          <w:rFonts w:ascii="Arial" w:hAnsi="Arial" w:cs="Arial"/>
          <w:sz w:val="24"/>
          <w:szCs w:val="24"/>
          <w:lang w:val="en-US"/>
        </w:rPr>
        <w:t xml:space="preserve">that are </w:t>
      </w:r>
      <w:r w:rsidRPr="005828A7">
        <w:rPr>
          <w:rFonts w:ascii="Arial" w:hAnsi="Arial" w:cs="Arial"/>
          <w:sz w:val="24"/>
          <w:szCs w:val="24"/>
          <w:lang w:val="en-US"/>
        </w:rPr>
        <w:t>outstanding are still within 90</w:t>
      </w:r>
      <w:r w:rsidR="000A5160">
        <w:rPr>
          <w:rFonts w:ascii="Arial" w:hAnsi="Arial" w:cs="Arial"/>
          <w:sz w:val="24"/>
          <w:szCs w:val="24"/>
          <w:lang w:val="en-US"/>
        </w:rPr>
        <w:t>-</w:t>
      </w:r>
      <w:r w:rsidRPr="005828A7">
        <w:rPr>
          <w:rFonts w:ascii="Arial" w:hAnsi="Arial" w:cs="Arial"/>
          <w:sz w:val="24"/>
          <w:szCs w:val="24"/>
          <w:lang w:val="en-US"/>
        </w:rPr>
        <w:t xml:space="preserve">days period which will expire during </w:t>
      </w:r>
      <w:r w:rsidR="000A5160">
        <w:rPr>
          <w:rFonts w:ascii="Arial" w:hAnsi="Arial" w:cs="Arial"/>
          <w:sz w:val="24"/>
          <w:szCs w:val="24"/>
          <w:lang w:val="en-US"/>
        </w:rPr>
        <w:t xml:space="preserve">the relevant </w:t>
      </w:r>
      <w:r w:rsidRPr="005828A7">
        <w:rPr>
          <w:rFonts w:ascii="Arial" w:hAnsi="Arial" w:cs="Arial"/>
          <w:sz w:val="24"/>
          <w:szCs w:val="24"/>
          <w:lang w:val="en-US"/>
        </w:rPr>
        <w:t>months in line with the period they were received. Below are the details in relation to the Covid-19 SRD appeals received as from 27 June 2022:</w:t>
      </w:r>
    </w:p>
    <w:tbl>
      <w:tblPr>
        <w:tblStyle w:val="TableGrid"/>
        <w:tblW w:w="0" w:type="auto"/>
        <w:tblLayout w:type="fixed"/>
        <w:tblLook w:val="04A0"/>
      </w:tblPr>
      <w:tblGrid>
        <w:gridCol w:w="2122"/>
        <w:gridCol w:w="1984"/>
        <w:gridCol w:w="2835"/>
        <w:gridCol w:w="2075"/>
      </w:tblGrid>
      <w:tr w:rsidR="008E3E78" w:rsidRPr="005828A7" w:rsidTr="004D42FA">
        <w:tc>
          <w:tcPr>
            <w:tcW w:w="2122"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Grant Type</w:t>
            </w:r>
          </w:p>
        </w:tc>
        <w:tc>
          <w:tcPr>
            <w:tcW w:w="1984"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Total Received</w:t>
            </w:r>
          </w:p>
        </w:tc>
        <w:tc>
          <w:tcPr>
            <w:tcW w:w="2835"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Total Adjudicated</w:t>
            </w:r>
          </w:p>
        </w:tc>
        <w:tc>
          <w:tcPr>
            <w:tcW w:w="2075" w:type="dxa"/>
          </w:tcPr>
          <w:p w:rsidR="008E3E78" w:rsidRPr="005828A7" w:rsidRDefault="008E3E78" w:rsidP="00800EA5">
            <w:pPr>
              <w:spacing w:line="276" w:lineRule="auto"/>
              <w:jc w:val="both"/>
              <w:rPr>
                <w:rFonts w:ascii="Arial" w:hAnsi="Arial" w:cs="Arial"/>
                <w:b/>
                <w:bCs/>
                <w:sz w:val="24"/>
                <w:szCs w:val="24"/>
                <w:lang w:val="en-US"/>
              </w:rPr>
            </w:pPr>
            <w:r w:rsidRPr="005828A7">
              <w:rPr>
                <w:rFonts w:ascii="Arial" w:hAnsi="Arial" w:cs="Arial"/>
                <w:b/>
                <w:bCs/>
                <w:sz w:val="24"/>
                <w:szCs w:val="24"/>
                <w:lang w:val="en-US"/>
              </w:rPr>
              <w:t>Outstanding</w:t>
            </w:r>
          </w:p>
        </w:tc>
      </w:tr>
      <w:tr w:rsidR="008E3E78" w:rsidRPr="005828A7" w:rsidTr="004D42FA">
        <w:tc>
          <w:tcPr>
            <w:tcW w:w="2122" w:type="dxa"/>
          </w:tcPr>
          <w:p w:rsidR="008E3E78" w:rsidRPr="005828A7" w:rsidRDefault="008E3E78" w:rsidP="000A5160">
            <w:pPr>
              <w:spacing w:line="276" w:lineRule="auto"/>
              <w:jc w:val="both"/>
              <w:rPr>
                <w:rFonts w:ascii="Arial" w:hAnsi="Arial" w:cs="Arial"/>
                <w:b/>
                <w:bCs/>
                <w:sz w:val="24"/>
                <w:szCs w:val="24"/>
                <w:lang w:val="en-US"/>
              </w:rPr>
            </w:pPr>
            <w:r w:rsidRPr="005828A7">
              <w:rPr>
                <w:rFonts w:ascii="Arial" w:hAnsi="Arial" w:cs="Arial"/>
                <w:b/>
                <w:bCs/>
                <w:sz w:val="24"/>
                <w:szCs w:val="24"/>
                <w:lang w:val="en-US"/>
              </w:rPr>
              <w:t>Covid-19 SRD</w:t>
            </w:r>
          </w:p>
        </w:tc>
        <w:tc>
          <w:tcPr>
            <w:tcW w:w="1984" w:type="dxa"/>
          </w:tcPr>
          <w:p w:rsidR="008E3E78" w:rsidRPr="005828A7" w:rsidRDefault="008E3E78" w:rsidP="00800EA5">
            <w:pPr>
              <w:spacing w:line="276" w:lineRule="auto"/>
              <w:jc w:val="both"/>
              <w:rPr>
                <w:rFonts w:ascii="Arial" w:hAnsi="Arial" w:cs="Arial"/>
                <w:sz w:val="24"/>
                <w:szCs w:val="24"/>
                <w:lang w:val="en-US"/>
              </w:rPr>
            </w:pPr>
            <w:r w:rsidRPr="005828A7">
              <w:rPr>
                <w:rFonts w:ascii="Arial" w:hAnsi="Arial" w:cs="Arial"/>
                <w:sz w:val="24"/>
                <w:szCs w:val="24"/>
                <w:lang w:val="en-US"/>
              </w:rPr>
              <w:t>3 595 147</w:t>
            </w:r>
          </w:p>
        </w:tc>
        <w:tc>
          <w:tcPr>
            <w:tcW w:w="2835" w:type="dxa"/>
          </w:tcPr>
          <w:p w:rsidR="008E3E78" w:rsidRPr="005828A7" w:rsidRDefault="008E3E78" w:rsidP="00800EA5">
            <w:pPr>
              <w:spacing w:line="276" w:lineRule="auto"/>
              <w:jc w:val="both"/>
              <w:rPr>
                <w:rFonts w:ascii="Arial" w:hAnsi="Arial" w:cs="Arial"/>
                <w:sz w:val="24"/>
                <w:szCs w:val="24"/>
                <w:lang w:val="en-US"/>
              </w:rPr>
            </w:pPr>
            <w:r w:rsidRPr="005828A7">
              <w:rPr>
                <w:rFonts w:ascii="Arial" w:hAnsi="Arial" w:cs="Arial"/>
                <w:sz w:val="24"/>
                <w:szCs w:val="24"/>
                <w:lang w:val="en-US"/>
              </w:rPr>
              <w:t>516 442</w:t>
            </w:r>
          </w:p>
        </w:tc>
        <w:tc>
          <w:tcPr>
            <w:tcW w:w="2075" w:type="dxa"/>
          </w:tcPr>
          <w:p w:rsidR="008E3E78" w:rsidRPr="005828A7" w:rsidRDefault="008E3E78" w:rsidP="00800EA5">
            <w:pPr>
              <w:spacing w:line="276" w:lineRule="auto"/>
              <w:jc w:val="both"/>
              <w:rPr>
                <w:rFonts w:ascii="Arial" w:hAnsi="Arial" w:cs="Arial"/>
                <w:sz w:val="24"/>
                <w:szCs w:val="24"/>
                <w:lang w:val="en-US"/>
              </w:rPr>
            </w:pPr>
            <w:r w:rsidRPr="005828A7">
              <w:rPr>
                <w:rFonts w:ascii="Arial" w:hAnsi="Arial" w:cs="Arial"/>
                <w:sz w:val="24"/>
                <w:szCs w:val="24"/>
                <w:lang w:val="en-US"/>
              </w:rPr>
              <w:t>3 078 705</w:t>
            </w:r>
          </w:p>
        </w:tc>
      </w:tr>
    </w:tbl>
    <w:p w:rsidR="00800EA5" w:rsidRPr="005828A7" w:rsidRDefault="00800EA5" w:rsidP="00800EA5">
      <w:pPr>
        <w:ind w:left="1080"/>
        <w:jc w:val="both"/>
        <w:rPr>
          <w:rFonts w:ascii="Arial" w:hAnsi="Arial" w:cs="Arial"/>
          <w:sz w:val="24"/>
          <w:szCs w:val="24"/>
          <w:lang w:val="en-US"/>
        </w:rPr>
      </w:pPr>
    </w:p>
    <w:p w:rsidR="00174A92" w:rsidRPr="005828A7" w:rsidRDefault="008E3E78" w:rsidP="00800EA5">
      <w:pPr>
        <w:ind w:left="1080"/>
        <w:jc w:val="both"/>
        <w:rPr>
          <w:rFonts w:ascii="Arial" w:hAnsi="Arial" w:cs="Arial"/>
          <w:color w:val="212121"/>
          <w:sz w:val="24"/>
          <w:szCs w:val="24"/>
        </w:rPr>
      </w:pPr>
      <w:r w:rsidRPr="005828A7">
        <w:rPr>
          <w:rFonts w:ascii="Arial" w:hAnsi="Arial" w:cs="Arial"/>
          <w:sz w:val="24"/>
          <w:szCs w:val="24"/>
          <w:lang w:val="en-US"/>
        </w:rPr>
        <w:t>The adjudication processes relating to April – May 2022 are underway.</w:t>
      </w:r>
    </w:p>
    <w:p w:rsidR="00800EA5" w:rsidRPr="005828A7" w:rsidRDefault="00800EA5" w:rsidP="00800EA5">
      <w:pPr>
        <w:ind w:left="1080" w:hanging="360"/>
        <w:jc w:val="both"/>
        <w:rPr>
          <w:rFonts w:ascii="Arial" w:hAnsi="Arial" w:cs="Arial"/>
          <w:color w:val="212121"/>
          <w:sz w:val="24"/>
          <w:szCs w:val="24"/>
        </w:rPr>
      </w:pPr>
      <w:r w:rsidRPr="005828A7">
        <w:rPr>
          <w:rFonts w:ascii="Arial" w:hAnsi="Arial" w:cs="Arial"/>
          <w:color w:val="212121"/>
          <w:sz w:val="24"/>
          <w:szCs w:val="24"/>
        </w:rPr>
        <w:t>3.</w:t>
      </w:r>
      <w:r w:rsidRPr="005828A7">
        <w:rPr>
          <w:rFonts w:ascii="Arial" w:hAnsi="Arial" w:cs="Arial"/>
          <w:color w:val="212121"/>
          <w:sz w:val="24"/>
          <w:szCs w:val="24"/>
        </w:rPr>
        <w:tab/>
      </w:r>
    </w:p>
    <w:p w:rsidR="00800EA5" w:rsidRPr="005828A7" w:rsidRDefault="003316E7" w:rsidP="00800EA5">
      <w:pPr>
        <w:ind w:left="1440" w:hanging="720"/>
        <w:jc w:val="both"/>
        <w:rPr>
          <w:rFonts w:ascii="Arial" w:hAnsi="Arial" w:cs="Arial"/>
          <w:color w:val="212121"/>
          <w:sz w:val="24"/>
          <w:szCs w:val="24"/>
        </w:rPr>
      </w:pPr>
      <w:r w:rsidRPr="005828A7">
        <w:rPr>
          <w:rFonts w:ascii="Arial" w:hAnsi="Arial" w:cs="Arial"/>
          <w:color w:val="212121"/>
          <w:sz w:val="24"/>
          <w:szCs w:val="24"/>
        </w:rPr>
        <w:t>(a)</w:t>
      </w:r>
      <w:r w:rsidR="00800EA5" w:rsidRPr="005828A7">
        <w:rPr>
          <w:rFonts w:ascii="Arial" w:hAnsi="Arial" w:cs="Arial"/>
          <w:color w:val="212121"/>
          <w:sz w:val="24"/>
          <w:szCs w:val="24"/>
        </w:rPr>
        <w:tab/>
      </w:r>
      <w:r w:rsidR="00174A92" w:rsidRPr="005828A7">
        <w:rPr>
          <w:rFonts w:ascii="Arial" w:hAnsi="Arial" w:cs="Arial"/>
          <w:color w:val="212121"/>
          <w:sz w:val="24"/>
          <w:szCs w:val="24"/>
        </w:rPr>
        <w:t>There are no social grants or SRD for</w:t>
      </w:r>
      <w:r w:rsidR="00800EA5" w:rsidRPr="005828A7">
        <w:rPr>
          <w:rFonts w:ascii="Arial" w:hAnsi="Arial" w:cs="Arial"/>
          <w:color w:val="212121"/>
          <w:sz w:val="24"/>
          <w:szCs w:val="24"/>
        </w:rPr>
        <w:t xml:space="preserve"> </w:t>
      </w:r>
      <w:r w:rsidR="00174A92" w:rsidRPr="005828A7">
        <w:rPr>
          <w:rFonts w:ascii="Arial" w:hAnsi="Arial" w:cs="Arial"/>
          <w:color w:val="212121"/>
          <w:sz w:val="24"/>
          <w:szCs w:val="24"/>
        </w:rPr>
        <w:t xml:space="preserve">disasters that are not paid </w:t>
      </w:r>
      <w:r w:rsidR="00717954" w:rsidRPr="005828A7">
        <w:rPr>
          <w:rFonts w:ascii="Arial" w:hAnsi="Arial" w:cs="Arial"/>
          <w:color w:val="212121"/>
          <w:sz w:val="24"/>
          <w:szCs w:val="24"/>
        </w:rPr>
        <w:t>to date</w:t>
      </w:r>
      <w:r w:rsidR="00174A92" w:rsidRPr="005828A7">
        <w:rPr>
          <w:rFonts w:ascii="Arial" w:hAnsi="Arial" w:cs="Arial"/>
          <w:color w:val="212121"/>
          <w:sz w:val="24"/>
          <w:szCs w:val="24"/>
        </w:rPr>
        <w:t>. Payment challenges do however persist with the COVID</w:t>
      </w:r>
      <w:r w:rsidR="005C0D4A" w:rsidRPr="005828A7">
        <w:rPr>
          <w:rFonts w:ascii="Arial" w:hAnsi="Arial" w:cs="Arial"/>
          <w:color w:val="212121"/>
          <w:sz w:val="24"/>
          <w:szCs w:val="24"/>
        </w:rPr>
        <w:t>-19</w:t>
      </w:r>
      <w:r w:rsidR="00174A92" w:rsidRPr="005828A7">
        <w:rPr>
          <w:rFonts w:ascii="Arial" w:hAnsi="Arial" w:cs="Arial"/>
          <w:color w:val="212121"/>
          <w:sz w:val="24"/>
          <w:szCs w:val="24"/>
        </w:rPr>
        <w:t xml:space="preserve"> SRD assessments and payments. At present, assessments are running about 1 month behind (September assessments were conducted in October) and approximately 80% of approved clients have been paid. In August 2022, this represented approximately 1.4 million clients.</w:t>
      </w:r>
    </w:p>
    <w:p w:rsidR="00A7090C" w:rsidRPr="005828A7" w:rsidRDefault="003316E7" w:rsidP="00800EA5">
      <w:pPr>
        <w:ind w:left="1440" w:hanging="720"/>
        <w:jc w:val="both"/>
        <w:rPr>
          <w:rFonts w:ascii="Arial" w:hAnsi="Arial" w:cs="Arial"/>
          <w:color w:val="212121"/>
          <w:sz w:val="24"/>
          <w:szCs w:val="24"/>
        </w:rPr>
      </w:pPr>
      <w:r w:rsidRPr="005828A7">
        <w:rPr>
          <w:rFonts w:ascii="Arial" w:hAnsi="Arial" w:cs="Arial"/>
          <w:color w:val="212121"/>
          <w:sz w:val="24"/>
          <w:szCs w:val="24"/>
        </w:rPr>
        <w:t xml:space="preserve">(b) </w:t>
      </w:r>
      <w:r w:rsidR="00174A92" w:rsidRPr="005828A7">
        <w:rPr>
          <w:rFonts w:ascii="Arial" w:hAnsi="Arial" w:cs="Arial"/>
          <w:color w:val="212121"/>
          <w:sz w:val="24"/>
          <w:szCs w:val="24"/>
        </w:rPr>
        <w:t>The main reasons for delayed payments include:</w:t>
      </w:r>
    </w:p>
    <w:p w:rsidR="00057342" w:rsidRPr="005828A7" w:rsidRDefault="00057342" w:rsidP="00800EA5">
      <w:pPr>
        <w:pStyle w:val="ListParagraph"/>
        <w:numPr>
          <w:ilvl w:val="0"/>
          <w:numId w:val="18"/>
        </w:numPr>
        <w:jc w:val="both"/>
        <w:rPr>
          <w:rFonts w:ascii="Arial" w:hAnsi="Arial" w:cs="Arial"/>
          <w:sz w:val="24"/>
          <w:szCs w:val="24"/>
        </w:rPr>
      </w:pPr>
      <w:r w:rsidRPr="005828A7">
        <w:rPr>
          <w:rFonts w:ascii="Arial" w:hAnsi="Arial" w:cs="Arial"/>
          <w:sz w:val="24"/>
          <w:szCs w:val="24"/>
        </w:rPr>
        <w:t>Awaiting bank account verification</w:t>
      </w:r>
      <w:r w:rsidR="00174A92" w:rsidRPr="005828A7">
        <w:rPr>
          <w:rFonts w:ascii="Arial" w:hAnsi="Arial" w:cs="Arial"/>
          <w:sz w:val="24"/>
          <w:szCs w:val="24"/>
        </w:rPr>
        <w:t xml:space="preserve"> – before making a payment for the first time, SASSA needs to confirm with the bank that the bank account uploaded by the client belongs to the client to ensure that we are paying the correct person. </w:t>
      </w:r>
    </w:p>
    <w:p w:rsidR="005F3BC9" w:rsidRPr="005828A7" w:rsidRDefault="005F3BC9" w:rsidP="00800EA5">
      <w:pPr>
        <w:pStyle w:val="ListParagraph"/>
        <w:numPr>
          <w:ilvl w:val="0"/>
          <w:numId w:val="18"/>
        </w:numPr>
        <w:jc w:val="both"/>
        <w:rPr>
          <w:rFonts w:ascii="Arial" w:hAnsi="Arial" w:cs="Arial"/>
          <w:sz w:val="24"/>
          <w:szCs w:val="24"/>
        </w:rPr>
      </w:pPr>
      <w:r w:rsidRPr="005828A7">
        <w:rPr>
          <w:rFonts w:ascii="Arial" w:hAnsi="Arial" w:cs="Arial"/>
          <w:sz w:val="24"/>
          <w:szCs w:val="24"/>
        </w:rPr>
        <w:t>Failed bank account verification</w:t>
      </w:r>
      <w:r w:rsidR="00174A92" w:rsidRPr="005828A7">
        <w:rPr>
          <w:rFonts w:ascii="Arial" w:hAnsi="Arial" w:cs="Arial"/>
          <w:sz w:val="24"/>
          <w:szCs w:val="24"/>
        </w:rPr>
        <w:t xml:space="preserve"> – often clients upload incorrect banking details.</w:t>
      </w:r>
    </w:p>
    <w:p w:rsidR="00174A92" w:rsidRPr="005828A7" w:rsidRDefault="00174A92" w:rsidP="000E5B95">
      <w:pPr>
        <w:pStyle w:val="ListParagraph"/>
        <w:numPr>
          <w:ilvl w:val="0"/>
          <w:numId w:val="18"/>
        </w:numPr>
        <w:jc w:val="both"/>
        <w:rPr>
          <w:rFonts w:ascii="Arial" w:hAnsi="Arial" w:cs="Arial"/>
          <w:sz w:val="24"/>
          <w:szCs w:val="24"/>
        </w:rPr>
      </w:pPr>
      <w:r w:rsidRPr="005828A7">
        <w:rPr>
          <w:rFonts w:ascii="Arial" w:hAnsi="Arial" w:cs="Arial"/>
          <w:sz w:val="24"/>
          <w:szCs w:val="24"/>
        </w:rPr>
        <w:t>For cash send options a similar verification of the mobile number used by the client for payment is required</w:t>
      </w:r>
      <w:r w:rsidR="000A5160">
        <w:rPr>
          <w:rFonts w:ascii="Arial" w:hAnsi="Arial" w:cs="Arial"/>
          <w:sz w:val="24"/>
          <w:szCs w:val="24"/>
        </w:rPr>
        <w:t>. A</w:t>
      </w:r>
      <w:r w:rsidRPr="005828A7">
        <w:rPr>
          <w:rFonts w:ascii="Arial" w:hAnsi="Arial" w:cs="Arial"/>
          <w:sz w:val="24"/>
          <w:szCs w:val="24"/>
        </w:rPr>
        <w:t xml:space="preserve"> </w:t>
      </w:r>
      <w:r w:rsidR="000A5160">
        <w:rPr>
          <w:rFonts w:ascii="Arial" w:hAnsi="Arial" w:cs="Arial"/>
          <w:sz w:val="24"/>
          <w:szCs w:val="24"/>
        </w:rPr>
        <w:t>huge</w:t>
      </w:r>
      <w:r w:rsidRPr="005828A7">
        <w:rPr>
          <w:rFonts w:ascii="Arial" w:hAnsi="Arial" w:cs="Arial"/>
          <w:sz w:val="24"/>
          <w:szCs w:val="24"/>
        </w:rPr>
        <w:t xml:space="preserve"> majority of these fail due to clients not using mobile numbers that are directly linked to them</w:t>
      </w:r>
      <w:r w:rsidR="000A5160">
        <w:rPr>
          <w:rFonts w:ascii="Arial" w:hAnsi="Arial" w:cs="Arial"/>
          <w:sz w:val="24"/>
          <w:szCs w:val="24"/>
        </w:rPr>
        <w:t xml:space="preserve"> </w:t>
      </w:r>
      <w:r w:rsidR="000E5B95">
        <w:rPr>
          <w:rFonts w:ascii="Arial" w:hAnsi="Arial" w:cs="Arial"/>
          <w:sz w:val="24"/>
          <w:szCs w:val="24"/>
        </w:rPr>
        <w:t xml:space="preserve">in terms of the </w:t>
      </w:r>
      <w:r w:rsidR="000E5B95" w:rsidRPr="000E5B95">
        <w:rPr>
          <w:rFonts w:ascii="Arial" w:hAnsi="Arial" w:cs="Arial"/>
          <w:sz w:val="24"/>
          <w:szCs w:val="24"/>
        </w:rPr>
        <w:t>Regulation of Interception of Communications and Provision of Communication Related Information Act 70 of 2002</w:t>
      </w:r>
      <w:r w:rsidR="000E5B95">
        <w:rPr>
          <w:rFonts w:ascii="Arial" w:hAnsi="Arial" w:cs="Arial"/>
          <w:sz w:val="24"/>
          <w:szCs w:val="24"/>
        </w:rPr>
        <w:t xml:space="preserve"> (RICA)</w:t>
      </w:r>
      <w:r w:rsidRPr="005828A7">
        <w:rPr>
          <w:rFonts w:ascii="Arial" w:hAnsi="Arial" w:cs="Arial"/>
          <w:sz w:val="24"/>
          <w:szCs w:val="24"/>
        </w:rPr>
        <w:t>.</w:t>
      </w:r>
    </w:p>
    <w:p w:rsidR="007A54DB" w:rsidRPr="005828A7" w:rsidRDefault="007A54DB" w:rsidP="002E0B2D">
      <w:pPr>
        <w:pStyle w:val="ListParagraph"/>
        <w:jc w:val="both"/>
        <w:rPr>
          <w:rFonts w:ascii="Arial" w:hAnsi="Arial" w:cs="Arial"/>
          <w:sz w:val="24"/>
          <w:szCs w:val="24"/>
        </w:rPr>
      </w:pPr>
    </w:p>
    <w:p w:rsidR="007A54DB" w:rsidRPr="003316E7" w:rsidRDefault="007A54DB" w:rsidP="003316E7">
      <w:pPr>
        <w:pStyle w:val="ListParagraph"/>
        <w:rPr>
          <w:rFonts w:ascii="Arial" w:hAnsi="Arial" w:cs="Arial"/>
          <w:color w:val="212121"/>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F27D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0F" w:rsidRDefault="00AC6E0F">
      <w:pPr>
        <w:spacing w:after="0" w:line="240" w:lineRule="auto"/>
      </w:pPr>
      <w:r>
        <w:separator/>
      </w:r>
    </w:p>
  </w:endnote>
  <w:endnote w:type="continuationSeparator" w:id="0">
    <w:p w:rsidR="00AC6E0F" w:rsidRDefault="00AC6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F27DBA">
        <w:pPr>
          <w:pStyle w:val="Footer"/>
          <w:jc w:val="right"/>
        </w:pPr>
        <w:r>
          <w:fldChar w:fldCharType="begin"/>
        </w:r>
        <w:r w:rsidR="00A436AB">
          <w:instrText xml:space="preserve"> PAGE   \* MERGEFORMAT </w:instrText>
        </w:r>
        <w:r>
          <w:fldChar w:fldCharType="separate"/>
        </w:r>
        <w:r w:rsidR="00AC6E0F">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0F" w:rsidRDefault="00AC6E0F">
      <w:pPr>
        <w:spacing w:after="0" w:line="240" w:lineRule="auto"/>
      </w:pPr>
      <w:r>
        <w:separator/>
      </w:r>
    </w:p>
  </w:footnote>
  <w:footnote w:type="continuationSeparator" w:id="0">
    <w:p w:rsidR="00AC6E0F" w:rsidRDefault="00AC6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CE3"/>
    <w:multiLevelType w:val="hybridMultilevel"/>
    <w:tmpl w:val="5DA285AC"/>
    <w:lvl w:ilvl="0" w:tplc="7BC2261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A53FFA"/>
    <w:multiLevelType w:val="hybridMultilevel"/>
    <w:tmpl w:val="3E12C8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2CE748B"/>
    <w:multiLevelType w:val="hybridMultilevel"/>
    <w:tmpl w:val="D2604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E156E26"/>
    <w:multiLevelType w:val="hybridMultilevel"/>
    <w:tmpl w:val="90D48496"/>
    <w:lvl w:ilvl="0" w:tplc="67F8F99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9"/>
  </w:num>
  <w:num w:numId="4">
    <w:abstractNumId w:val="2"/>
  </w:num>
  <w:num w:numId="5">
    <w:abstractNumId w:val="15"/>
  </w:num>
  <w:num w:numId="6">
    <w:abstractNumId w:val="5"/>
  </w:num>
  <w:num w:numId="7">
    <w:abstractNumId w:val="12"/>
  </w:num>
  <w:num w:numId="8">
    <w:abstractNumId w:val="7"/>
  </w:num>
  <w:num w:numId="9">
    <w:abstractNumId w:val="11"/>
  </w:num>
  <w:num w:numId="10">
    <w:abstractNumId w:val="6"/>
  </w:num>
  <w:num w:numId="11">
    <w:abstractNumId w:val="8"/>
  </w:num>
  <w:num w:numId="12">
    <w:abstractNumId w:val="18"/>
  </w:num>
  <w:num w:numId="13">
    <w:abstractNumId w:val="13"/>
  </w:num>
  <w:num w:numId="14">
    <w:abstractNumId w:val="9"/>
  </w:num>
  <w:num w:numId="15">
    <w:abstractNumId w:val="17"/>
  </w:num>
  <w:num w:numId="16">
    <w:abstractNumId w:val="16"/>
  </w:num>
  <w:num w:numId="17">
    <w:abstractNumId w:val="0"/>
  </w:num>
  <w:num w:numId="18">
    <w:abstractNumId w:val="4"/>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3967"/>
    <w:rsid w:val="0001673F"/>
    <w:rsid w:val="00022DAF"/>
    <w:rsid w:val="00030F7E"/>
    <w:rsid w:val="00041AA3"/>
    <w:rsid w:val="00041FD4"/>
    <w:rsid w:val="00042BE0"/>
    <w:rsid w:val="00045724"/>
    <w:rsid w:val="0004596A"/>
    <w:rsid w:val="00047F69"/>
    <w:rsid w:val="00051EC2"/>
    <w:rsid w:val="00057342"/>
    <w:rsid w:val="000606D9"/>
    <w:rsid w:val="00064295"/>
    <w:rsid w:val="00066271"/>
    <w:rsid w:val="000707D0"/>
    <w:rsid w:val="0007116F"/>
    <w:rsid w:val="00083B8D"/>
    <w:rsid w:val="00091658"/>
    <w:rsid w:val="00091902"/>
    <w:rsid w:val="00094C3C"/>
    <w:rsid w:val="00097109"/>
    <w:rsid w:val="0009793F"/>
    <w:rsid w:val="000A5160"/>
    <w:rsid w:val="000B3D62"/>
    <w:rsid w:val="000B436B"/>
    <w:rsid w:val="000B490F"/>
    <w:rsid w:val="000C1583"/>
    <w:rsid w:val="000C35A9"/>
    <w:rsid w:val="000D465F"/>
    <w:rsid w:val="000E3F6F"/>
    <w:rsid w:val="000E5B95"/>
    <w:rsid w:val="000F1964"/>
    <w:rsid w:val="000F1F08"/>
    <w:rsid w:val="000F33EF"/>
    <w:rsid w:val="000F621A"/>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6683A"/>
    <w:rsid w:val="001713D1"/>
    <w:rsid w:val="00173BDA"/>
    <w:rsid w:val="001745C4"/>
    <w:rsid w:val="00174A02"/>
    <w:rsid w:val="00174A92"/>
    <w:rsid w:val="001808E1"/>
    <w:rsid w:val="00183FED"/>
    <w:rsid w:val="00187F11"/>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E4C6E"/>
    <w:rsid w:val="001F1C3B"/>
    <w:rsid w:val="001F2205"/>
    <w:rsid w:val="00205109"/>
    <w:rsid w:val="002052D4"/>
    <w:rsid w:val="00207160"/>
    <w:rsid w:val="002133F3"/>
    <w:rsid w:val="00214E66"/>
    <w:rsid w:val="00224843"/>
    <w:rsid w:val="002346B4"/>
    <w:rsid w:val="00245203"/>
    <w:rsid w:val="0024771A"/>
    <w:rsid w:val="00253C36"/>
    <w:rsid w:val="002559B6"/>
    <w:rsid w:val="00262858"/>
    <w:rsid w:val="00264E4F"/>
    <w:rsid w:val="00265CDC"/>
    <w:rsid w:val="00266F14"/>
    <w:rsid w:val="00267BB0"/>
    <w:rsid w:val="00270B32"/>
    <w:rsid w:val="00270F3D"/>
    <w:rsid w:val="002738BB"/>
    <w:rsid w:val="002810E9"/>
    <w:rsid w:val="00281672"/>
    <w:rsid w:val="002817C7"/>
    <w:rsid w:val="0029264C"/>
    <w:rsid w:val="002932D5"/>
    <w:rsid w:val="00296330"/>
    <w:rsid w:val="00297EB9"/>
    <w:rsid w:val="002A66E4"/>
    <w:rsid w:val="002B3395"/>
    <w:rsid w:val="002B5DEF"/>
    <w:rsid w:val="002B6874"/>
    <w:rsid w:val="002B7F4E"/>
    <w:rsid w:val="002C04CE"/>
    <w:rsid w:val="002D4C7A"/>
    <w:rsid w:val="002D57A0"/>
    <w:rsid w:val="002E0B2D"/>
    <w:rsid w:val="002E7AA7"/>
    <w:rsid w:val="002F0131"/>
    <w:rsid w:val="002F04B7"/>
    <w:rsid w:val="002F17AE"/>
    <w:rsid w:val="0030488B"/>
    <w:rsid w:val="003055D8"/>
    <w:rsid w:val="00306CD5"/>
    <w:rsid w:val="00310F71"/>
    <w:rsid w:val="00317C62"/>
    <w:rsid w:val="00322453"/>
    <w:rsid w:val="00326B3A"/>
    <w:rsid w:val="003316E7"/>
    <w:rsid w:val="00340511"/>
    <w:rsid w:val="00340C33"/>
    <w:rsid w:val="00351560"/>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E395E"/>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4AEC"/>
    <w:rsid w:val="00537B1C"/>
    <w:rsid w:val="0054758F"/>
    <w:rsid w:val="00551EEA"/>
    <w:rsid w:val="00556689"/>
    <w:rsid w:val="00567EA8"/>
    <w:rsid w:val="00577FEC"/>
    <w:rsid w:val="005825E4"/>
    <w:rsid w:val="005828A7"/>
    <w:rsid w:val="00584954"/>
    <w:rsid w:val="0058563F"/>
    <w:rsid w:val="00586CCC"/>
    <w:rsid w:val="00592B9B"/>
    <w:rsid w:val="005962DE"/>
    <w:rsid w:val="005A0E21"/>
    <w:rsid w:val="005A184A"/>
    <w:rsid w:val="005A37EE"/>
    <w:rsid w:val="005A3AB9"/>
    <w:rsid w:val="005A6543"/>
    <w:rsid w:val="005B5BFF"/>
    <w:rsid w:val="005C0D4A"/>
    <w:rsid w:val="005C2091"/>
    <w:rsid w:val="005D23BD"/>
    <w:rsid w:val="005D3DDE"/>
    <w:rsid w:val="005D5EBD"/>
    <w:rsid w:val="005D7EF1"/>
    <w:rsid w:val="005E3C42"/>
    <w:rsid w:val="005E4916"/>
    <w:rsid w:val="005E60F0"/>
    <w:rsid w:val="005F2C98"/>
    <w:rsid w:val="005F3BC9"/>
    <w:rsid w:val="005F4573"/>
    <w:rsid w:val="005F4597"/>
    <w:rsid w:val="00602077"/>
    <w:rsid w:val="006043E8"/>
    <w:rsid w:val="006051BB"/>
    <w:rsid w:val="00605A46"/>
    <w:rsid w:val="0061262D"/>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338A"/>
    <w:rsid w:val="006C6488"/>
    <w:rsid w:val="006D024F"/>
    <w:rsid w:val="006E4581"/>
    <w:rsid w:val="006E5299"/>
    <w:rsid w:val="006E62F1"/>
    <w:rsid w:val="006E6F01"/>
    <w:rsid w:val="006F0EB0"/>
    <w:rsid w:val="006F1316"/>
    <w:rsid w:val="006F3E48"/>
    <w:rsid w:val="00702A10"/>
    <w:rsid w:val="007050B3"/>
    <w:rsid w:val="00711C80"/>
    <w:rsid w:val="007130F6"/>
    <w:rsid w:val="007139C1"/>
    <w:rsid w:val="00716453"/>
    <w:rsid w:val="00717954"/>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0FB3"/>
    <w:rsid w:val="00797D21"/>
    <w:rsid w:val="007A449C"/>
    <w:rsid w:val="007A54DB"/>
    <w:rsid w:val="007A7AE6"/>
    <w:rsid w:val="007A7E54"/>
    <w:rsid w:val="007B659D"/>
    <w:rsid w:val="007D0892"/>
    <w:rsid w:val="007D6644"/>
    <w:rsid w:val="007D78D7"/>
    <w:rsid w:val="007E24D7"/>
    <w:rsid w:val="007E387C"/>
    <w:rsid w:val="007E4506"/>
    <w:rsid w:val="007E4711"/>
    <w:rsid w:val="007E5E5F"/>
    <w:rsid w:val="007E799B"/>
    <w:rsid w:val="007F4E1A"/>
    <w:rsid w:val="007F7022"/>
    <w:rsid w:val="00800EA5"/>
    <w:rsid w:val="00801103"/>
    <w:rsid w:val="00803018"/>
    <w:rsid w:val="0080530C"/>
    <w:rsid w:val="008107F9"/>
    <w:rsid w:val="0081327A"/>
    <w:rsid w:val="008146DE"/>
    <w:rsid w:val="00817F4B"/>
    <w:rsid w:val="00823DF8"/>
    <w:rsid w:val="008305AC"/>
    <w:rsid w:val="00832056"/>
    <w:rsid w:val="00837E04"/>
    <w:rsid w:val="00843136"/>
    <w:rsid w:val="00850C63"/>
    <w:rsid w:val="00861672"/>
    <w:rsid w:val="008617BF"/>
    <w:rsid w:val="00873A25"/>
    <w:rsid w:val="0087491C"/>
    <w:rsid w:val="008853A8"/>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3E78"/>
    <w:rsid w:val="008E5107"/>
    <w:rsid w:val="008F2884"/>
    <w:rsid w:val="0090785A"/>
    <w:rsid w:val="00907F57"/>
    <w:rsid w:val="00913103"/>
    <w:rsid w:val="0091556E"/>
    <w:rsid w:val="00920A4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7493"/>
    <w:rsid w:val="009B0C0D"/>
    <w:rsid w:val="009C4045"/>
    <w:rsid w:val="009D12AD"/>
    <w:rsid w:val="009D2E55"/>
    <w:rsid w:val="009D31D0"/>
    <w:rsid w:val="009D6C6F"/>
    <w:rsid w:val="009E1947"/>
    <w:rsid w:val="009E2FDB"/>
    <w:rsid w:val="009E42A7"/>
    <w:rsid w:val="009E4955"/>
    <w:rsid w:val="009E7540"/>
    <w:rsid w:val="009F26B2"/>
    <w:rsid w:val="00A03249"/>
    <w:rsid w:val="00A03AEA"/>
    <w:rsid w:val="00A0436F"/>
    <w:rsid w:val="00A064E1"/>
    <w:rsid w:val="00A066DC"/>
    <w:rsid w:val="00A1031A"/>
    <w:rsid w:val="00A12D96"/>
    <w:rsid w:val="00A12E03"/>
    <w:rsid w:val="00A20D1C"/>
    <w:rsid w:val="00A21AE1"/>
    <w:rsid w:val="00A26D55"/>
    <w:rsid w:val="00A32DA2"/>
    <w:rsid w:val="00A34E32"/>
    <w:rsid w:val="00A400BA"/>
    <w:rsid w:val="00A436AB"/>
    <w:rsid w:val="00A436F0"/>
    <w:rsid w:val="00A60A76"/>
    <w:rsid w:val="00A6429F"/>
    <w:rsid w:val="00A64E8E"/>
    <w:rsid w:val="00A65C30"/>
    <w:rsid w:val="00A7090C"/>
    <w:rsid w:val="00A73D6D"/>
    <w:rsid w:val="00A7719B"/>
    <w:rsid w:val="00A8600B"/>
    <w:rsid w:val="00A870F2"/>
    <w:rsid w:val="00A8760F"/>
    <w:rsid w:val="00A930EB"/>
    <w:rsid w:val="00A9378F"/>
    <w:rsid w:val="00A93D60"/>
    <w:rsid w:val="00A97C86"/>
    <w:rsid w:val="00AA29C3"/>
    <w:rsid w:val="00AA2E91"/>
    <w:rsid w:val="00AB0772"/>
    <w:rsid w:val="00AB10C6"/>
    <w:rsid w:val="00AB6425"/>
    <w:rsid w:val="00AB6B86"/>
    <w:rsid w:val="00AC4AB7"/>
    <w:rsid w:val="00AC6B28"/>
    <w:rsid w:val="00AC6E0F"/>
    <w:rsid w:val="00AD40B7"/>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37AF6"/>
    <w:rsid w:val="00B40984"/>
    <w:rsid w:val="00B4712D"/>
    <w:rsid w:val="00B53024"/>
    <w:rsid w:val="00B55A37"/>
    <w:rsid w:val="00B73993"/>
    <w:rsid w:val="00B74F1D"/>
    <w:rsid w:val="00B75009"/>
    <w:rsid w:val="00B82C53"/>
    <w:rsid w:val="00B84755"/>
    <w:rsid w:val="00B90DCE"/>
    <w:rsid w:val="00B95215"/>
    <w:rsid w:val="00BA2C6B"/>
    <w:rsid w:val="00BB0803"/>
    <w:rsid w:val="00BB1B93"/>
    <w:rsid w:val="00BB3A79"/>
    <w:rsid w:val="00BB6966"/>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6651D"/>
    <w:rsid w:val="00C71E9C"/>
    <w:rsid w:val="00C724E7"/>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24F54"/>
    <w:rsid w:val="00D33C41"/>
    <w:rsid w:val="00D4048F"/>
    <w:rsid w:val="00D450FC"/>
    <w:rsid w:val="00D51239"/>
    <w:rsid w:val="00D61A84"/>
    <w:rsid w:val="00D67D54"/>
    <w:rsid w:val="00D703A5"/>
    <w:rsid w:val="00D71E36"/>
    <w:rsid w:val="00D80E2E"/>
    <w:rsid w:val="00D92CF6"/>
    <w:rsid w:val="00DA1E4E"/>
    <w:rsid w:val="00DC028F"/>
    <w:rsid w:val="00DC05C7"/>
    <w:rsid w:val="00DC221D"/>
    <w:rsid w:val="00DC5658"/>
    <w:rsid w:val="00DD48C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54E5"/>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63F4"/>
    <w:rsid w:val="00ED7105"/>
    <w:rsid w:val="00EE021E"/>
    <w:rsid w:val="00EE0F4E"/>
    <w:rsid w:val="00EE1110"/>
    <w:rsid w:val="00EE40C8"/>
    <w:rsid w:val="00EF057D"/>
    <w:rsid w:val="00EF0741"/>
    <w:rsid w:val="00EF2494"/>
    <w:rsid w:val="00EF6063"/>
    <w:rsid w:val="00EF6DD2"/>
    <w:rsid w:val="00F03601"/>
    <w:rsid w:val="00F04ECE"/>
    <w:rsid w:val="00F067DA"/>
    <w:rsid w:val="00F10744"/>
    <w:rsid w:val="00F15D74"/>
    <w:rsid w:val="00F178BB"/>
    <w:rsid w:val="00F17D24"/>
    <w:rsid w:val="00F21AFD"/>
    <w:rsid w:val="00F21D6B"/>
    <w:rsid w:val="00F265A7"/>
    <w:rsid w:val="00F27DBA"/>
    <w:rsid w:val="00F30443"/>
    <w:rsid w:val="00F33D87"/>
    <w:rsid w:val="00F37E84"/>
    <w:rsid w:val="00F43329"/>
    <w:rsid w:val="00F468FA"/>
    <w:rsid w:val="00F5732E"/>
    <w:rsid w:val="00F64E60"/>
    <w:rsid w:val="00F732A3"/>
    <w:rsid w:val="00F77743"/>
    <w:rsid w:val="00F77BA6"/>
    <w:rsid w:val="00F77CA8"/>
    <w:rsid w:val="00F86AA7"/>
    <w:rsid w:val="00F8736C"/>
    <w:rsid w:val="00F92F9F"/>
    <w:rsid w:val="00F93622"/>
    <w:rsid w:val="00FA5947"/>
    <w:rsid w:val="00FB4659"/>
    <w:rsid w:val="00FB557D"/>
    <w:rsid w:val="00FB5F56"/>
    <w:rsid w:val="00FC2C79"/>
    <w:rsid w:val="00FC68FF"/>
    <w:rsid w:val="00FD0D94"/>
    <w:rsid w:val="00FD1C03"/>
    <w:rsid w:val="00FD5267"/>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 w:type="character" w:styleId="CommentReference">
    <w:name w:val="annotation reference"/>
    <w:basedOn w:val="DefaultParagraphFont"/>
    <w:uiPriority w:val="99"/>
    <w:semiHidden/>
    <w:unhideWhenUsed/>
    <w:rsid w:val="00174A92"/>
    <w:rPr>
      <w:sz w:val="16"/>
      <w:szCs w:val="16"/>
    </w:rPr>
  </w:style>
  <w:style w:type="paragraph" w:styleId="CommentText">
    <w:name w:val="annotation text"/>
    <w:basedOn w:val="Normal"/>
    <w:link w:val="CommentTextChar"/>
    <w:uiPriority w:val="99"/>
    <w:semiHidden/>
    <w:unhideWhenUsed/>
    <w:rsid w:val="00174A92"/>
    <w:pPr>
      <w:spacing w:line="240" w:lineRule="auto"/>
    </w:pPr>
    <w:rPr>
      <w:sz w:val="20"/>
      <w:szCs w:val="20"/>
    </w:rPr>
  </w:style>
  <w:style w:type="character" w:customStyle="1" w:styleId="CommentTextChar">
    <w:name w:val="Comment Text Char"/>
    <w:basedOn w:val="DefaultParagraphFont"/>
    <w:link w:val="CommentText"/>
    <w:uiPriority w:val="99"/>
    <w:semiHidden/>
    <w:rsid w:val="00174A92"/>
    <w:rPr>
      <w:sz w:val="20"/>
      <w:szCs w:val="20"/>
    </w:rPr>
  </w:style>
  <w:style w:type="paragraph" w:styleId="CommentSubject">
    <w:name w:val="annotation subject"/>
    <w:basedOn w:val="CommentText"/>
    <w:next w:val="CommentText"/>
    <w:link w:val="CommentSubjectChar"/>
    <w:uiPriority w:val="99"/>
    <w:semiHidden/>
    <w:unhideWhenUsed/>
    <w:rsid w:val="00174A92"/>
    <w:rPr>
      <w:b/>
      <w:bCs/>
    </w:rPr>
  </w:style>
  <w:style w:type="character" w:customStyle="1" w:styleId="CommentSubjectChar">
    <w:name w:val="Comment Subject Char"/>
    <w:basedOn w:val="CommentTextChar"/>
    <w:link w:val="CommentSubject"/>
    <w:uiPriority w:val="99"/>
    <w:semiHidden/>
    <w:rsid w:val="00174A92"/>
    <w:rPr>
      <w:b/>
      <w:bCs/>
      <w:sz w:val="20"/>
      <w:szCs w:val="20"/>
    </w:rPr>
  </w:style>
  <w:style w:type="paragraph" w:styleId="Revision">
    <w:name w:val="Revision"/>
    <w:hidden/>
    <w:uiPriority w:val="99"/>
    <w:semiHidden/>
    <w:rsid w:val="005C0D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20942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AD1A-9E17-476D-A5B6-1B8558C3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2022-11-29T11:23:00Z</dcterms:created>
  <dcterms:modified xsi:type="dcterms:W3CDTF">2022-11-29T11:23:00Z</dcterms:modified>
</cp:coreProperties>
</file>