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1638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0E4876">
        <w:rPr>
          <w:u w:val="none"/>
        </w:rPr>
        <w:t>3</w:t>
      </w:r>
      <w:r w:rsidR="00136980">
        <w:rPr>
          <w:u w:val="none"/>
        </w:rPr>
        <w:t>56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94E6E">
        <w:rPr>
          <w:rFonts w:ascii="Arial" w:hAnsi="Arial" w:cs="Arial"/>
          <w:b/>
          <w:bCs/>
        </w:rPr>
        <w:t>FRIDAY</w:t>
      </w:r>
      <w:r w:rsidR="00C044D2">
        <w:rPr>
          <w:rFonts w:ascii="Arial" w:hAnsi="Arial" w:cs="Arial"/>
          <w:b/>
          <w:bCs/>
        </w:rPr>
        <w:t xml:space="preserve">, </w:t>
      </w:r>
      <w:r w:rsidR="00694E6E">
        <w:rPr>
          <w:rFonts w:ascii="Arial" w:hAnsi="Arial" w:cs="Arial"/>
          <w:b/>
          <w:bCs/>
        </w:rPr>
        <w:t xml:space="preserve">16 </w:t>
      </w:r>
      <w:r w:rsidR="00C31D92">
        <w:rPr>
          <w:rFonts w:ascii="Arial" w:hAnsi="Arial" w:cs="Arial"/>
          <w:b/>
          <w:bCs/>
        </w:rPr>
        <w:t xml:space="preserve">FEBRUARY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694E6E">
        <w:rPr>
          <w:u w:val="none"/>
        </w:rPr>
        <w:t>2</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C044D2" w:rsidRPr="00C044D2" w:rsidRDefault="00136980" w:rsidP="001F5C7D">
      <w:pPr>
        <w:spacing w:line="320" w:lineRule="exact"/>
        <w:ind w:left="567" w:hanging="567"/>
        <w:jc w:val="both"/>
        <w:rPr>
          <w:rFonts w:ascii="Arial" w:hAnsi="Arial" w:cs="Arial"/>
          <w:b/>
        </w:rPr>
      </w:pPr>
      <w:r w:rsidRPr="00136980">
        <w:rPr>
          <w:rFonts w:ascii="Arial" w:hAnsi="Arial" w:cs="Arial"/>
          <w:b/>
        </w:rPr>
        <w:t>356.</w:t>
      </w:r>
      <w:r w:rsidRPr="00136980">
        <w:rPr>
          <w:rFonts w:ascii="Arial" w:hAnsi="Arial" w:cs="Arial"/>
          <w:b/>
        </w:rPr>
        <w:tab/>
        <w:t>Ms C King (DA) to ask the Minister of Home Affairs</w:t>
      </w:r>
      <w:r w:rsidR="00013C6F" w:rsidRPr="00013C6F">
        <w:rPr>
          <w:rFonts w:ascii="Arial" w:hAnsi="Arial" w:cs="Arial"/>
          <w:b/>
        </w:rPr>
        <w:t>:</w:t>
      </w:r>
    </w:p>
    <w:p w:rsidR="00E272CD" w:rsidRDefault="00E272CD" w:rsidP="00974CFC">
      <w:pPr>
        <w:spacing w:line="320" w:lineRule="exact"/>
        <w:jc w:val="both"/>
        <w:rPr>
          <w:rFonts w:ascii="Arial" w:hAnsi="Arial" w:cs="Arial"/>
        </w:rPr>
      </w:pPr>
    </w:p>
    <w:p w:rsidR="00C02879" w:rsidRDefault="00136980" w:rsidP="007E3B84">
      <w:pPr>
        <w:spacing w:line="320" w:lineRule="exact"/>
        <w:jc w:val="both"/>
        <w:rPr>
          <w:rFonts w:ascii="Arial" w:hAnsi="Arial" w:cs="Arial"/>
          <w:lang w:val="en-US"/>
        </w:rPr>
      </w:pPr>
      <w:r w:rsidRPr="00136980">
        <w:rPr>
          <w:rFonts w:ascii="Arial" w:hAnsi="Arial" w:cs="Arial"/>
        </w:rPr>
        <w:t>(a) What is the total amount that was (i) budgeted for and (ii) spent on her private office (aa) in each of the past three financial years and (bb) since 1 April 2017 and (b) what was the (i) remuneration, (ii) salary level, (iii) job title, (iv) qualification and (v) job description of each employee appointed in her private office in each of the specified periods?</w:t>
      </w:r>
      <w:r w:rsidRPr="00136980">
        <w:rPr>
          <w:rFonts w:ascii="Arial" w:hAnsi="Arial" w:cs="Arial"/>
        </w:rPr>
        <w:tab/>
      </w:r>
      <w:r w:rsidRPr="00136980">
        <w:rPr>
          <w:rFonts w:ascii="Arial" w:hAnsi="Arial" w:cs="Arial"/>
        </w:rPr>
        <w:tab/>
      </w:r>
      <w:r w:rsidRPr="00136980">
        <w:rPr>
          <w:rFonts w:ascii="Arial" w:hAnsi="Arial" w:cs="Arial"/>
        </w:rPr>
        <w:tab/>
      </w:r>
      <w:r w:rsidRPr="00136980">
        <w:rPr>
          <w:rFonts w:ascii="Arial" w:hAnsi="Arial" w:cs="Arial"/>
        </w:rPr>
        <w:tab/>
      </w:r>
      <w:r w:rsidRPr="00136980">
        <w:rPr>
          <w:rFonts w:ascii="Arial" w:hAnsi="Arial" w:cs="Arial"/>
        </w:rPr>
        <w:tab/>
      </w:r>
      <w:r w:rsidRPr="00136980">
        <w:rPr>
          <w:rFonts w:ascii="Arial" w:hAnsi="Arial" w:cs="Arial"/>
        </w:rPr>
        <w:tab/>
      </w:r>
      <w:r w:rsidRPr="00136980">
        <w:rPr>
          <w:rFonts w:ascii="Arial" w:hAnsi="Arial" w:cs="Arial"/>
        </w:rPr>
        <w:tab/>
      </w:r>
      <w:r w:rsidRPr="00136980">
        <w:rPr>
          <w:rFonts w:ascii="Arial" w:hAnsi="Arial" w:cs="Arial"/>
        </w:rPr>
        <w:tab/>
      </w:r>
      <w:r w:rsidRPr="0013698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6980">
        <w:rPr>
          <w:rFonts w:ascii="Arial" w:hAnsi="Arial" w:cs="Arial"/>
        </w:rPr>
        <w:t>NW378E</w:t>
      </w:r>
      <w:r w:rsidR="007E3B84" w:rsidRPr="007E3B84">
        <w:rPr>
          <w:rFonts w:ascii="Arial" w:hAnsi="Arial" w:cs="Arial"/>
        </w:rPr>
        <w:tab/>
      </w:r>
      <w:r w:rsidR="007E3B84" w:rsidRPr="007E3B84">
        <w:rPr>
          <w:rFonts w:ascii="Arial" w:hAnsi="Arial" w:cs="Arial"/>
        </w:rPr>
        <w:tab/>
      </w:r>
      <w:r w:rsidR="007E3B84" w:rsidRPr="007E3B84">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1F5C7D">
        <w:rPr>
          <w:rFonts w:ascii="Arial" w:hAnsi="Arial" w:cs="Arial"/>
        </w:rPr>
        <w:tab/>
      </w:r>
      <w:r w:rsidR="001F5C7D">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CD0F0D" w:rsidRDefault="00CD0F0D" w:rsidP="00C3335E">
      <w:pPr>
        <w:tabs>
          <w:tab w:val="left" w:pos="432"/>
          <w:tab w:val="left" w:pos="864"/>
        </w:tabs>
        <w:spacing w:line="320" w:lineRule="exact"/>
        <w:jc w:val="both"/>
        <w:rPr>
          <w:rFonts w:ascii="Arial" w:hAnsi="Arial" w:cs="Arial"/>
        </w:rPr>
      </w:pPr>
      <w:r w:rsidRPr="00CD0F0D">
        <w:rPr>
          <w:rFonts w:ascii="Arial" w:hAnsi="Arial" w:cs="Arial"/>
        </w:rPr>
        <w:t xml:space="preserve">As the parliamentary question was directed to the former Minister of Home Affairs, Ms Ayanda Dlodlo, MP at the time, this response addresses the </w:t>
      </w:r>
      <w:r>
        <w:rPr>
          <w:rFonts w:ascii="Arial" w:hAnsi="Arial" w:cs="Arial"/>
        </w:rPr>
        <w:t xml:space="preserve">budget and </w:t>
      </w:r>
      <w:r w:rsidRPr="00CD0F0D">
        <w:rPr>
          <w:rFonts w:ascii="Arial" w:hAnsi="Arial" w:cs="Arial"/>
        </w:rPr>
        <w:t>personnel within Minister Dlodlo’s office during her tenure within the Department of Home Affairs only which commenced on 17 October 2017 until 26 February 2018.</w:t>
      </w:r>
    </w:p>
    <w:p w:rsidR="00CD0F0D" w:rsidRDefault="00CD0F0D" w:rsidP="00C3335E">
      <w:pPr>
        <w:tabs>
          <w:tab w:val="left" w:pos="432"/>
          <w:tab w:val="left" w:pos="864"/>
        </w:tabs>
        <w:spacing w:line="320" w:lineRule="exact"/>
        <w:jc w:val="both"/>
        <w:rPr>
          <w:rFonts w:ascii="Arial" w:hAnsi="Arial" w:cs="Arial"/>
        </w:rPr>
      </w:pPr>
    </w:p>
    <w:p w:rsidR="005D533D" w:rsidRDefault="005D533D" w:rsidP="005D533D">
      <w:pPr>
        <w:numPr>
          <w:ilvl w:val="0"/>
          <w:numId w:val="40"/>
        </w:numPr>
        <w:tabs>
          <w:tab w:val="left" w:pos="432"/>
          <w:tab w:val="left" w:pos="864"/>
        </w:tabs>
        <w:spacing w:line="320" w:lineRule="exact"/>
        <w:ind w:hanging="720"/>
        <w:jc w:val="both"/>
        <w:rPr>
          <w:rFonts w:ascii="Arial" w:hAnsi="Arial" w:cs="Arial"/>
        </w:rPr>
      </w:pPr>
      <w:r>
        <w:rPr>
          <w:rFonts w:ascii="Arial" w:hAnsi="Arial" w:cs="Arial"/>
        </w:rPr>
        <w:t xml:space="preserve">The information is as follows in the table below: </w:t>
      </w:r>
    </w:p>
    <w:p w:rsidR="00573B01" w:rsidRDefault="00573B01" w:rsidP="00573B01">
      <w:pPr>
        <w:tabs>
          <w:tab w:val="left" w:pos="432"/>
          <w:tab w:val="left" w:pos="864"/>
        </w:tabs>
        <w:spacing w:line="320" w:lineRule="exact"/>
        <w:ind w:left="720"/>
        <w:jc w:val="both"/>
        <w:rPr>
          <w:rFonts w:ascii="Arial" w:hAnsi="Arial" w:cs="Arial"/>
        </w:rPr>
      </w:pPr>
    </w:p>
    <w:p w:rsidR="005D533D" w:rsidRDefault="005D533D" w:rsidP="005D533D">
      <w:pPr>
        <w:tabs>
          <w:tab w:val="left" w:pos="432"/>
          <w:tab w:val="left" w:pos="864"/>
        </w:tabs>
        <w:spacing w:line="32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268"/>
        <w:gridCol w:w="2560"/>
      </w:tblGrid>
      <w:tr w:rsidR="005D533D" w:rsidRPr="008E1AF1" w:rsidTr="008E1AF1">
        <w:tc>
          <w:tcPr>
            <w:tcW w:w="3794" w:type="dxa"/>
            <w:shd w:val="clear" w:color="auto" w:fill="auto"/>
          </w:tcPr>
          <w:p w:rsidR="005D533D" w:rsidRPr="008E1AF1" w:rsidRDefault="005D533D" w:rsidP="008E1AF1">
            <w:pPr>
              <w:tabs>
                <w:tab w:val="left" w:pos="432"/>
                <w:tab w:val="left" w:pos="864"/>
              </w:tabs>
              <w:spacing w:line="320" w:lineRule="exact"/>
              <w:jc w:val="both"/>
              <w:rPr>
                <w:rFonts w:ascii="Arial" w:hAnsi="Arial" w:cs="Arial"/>
                <w:b/>
              </w:rPr>
            </w:pPr>
            <w:r w:rsidRPr="008E1AF1">
              <w:rPr>
                <w:rFonts w:ascii="Arial" w:hAnsi="Arial" w:cs="Arial"/>
                <w:b/>
              </w:rPr>
              <w:t xml:space="preserve">Financial years </w:t>
            </w:r>
          </w:p>
        </w:tc>
        <w:tc>
          <w:tcPr>
            <w:tcW w:w="2268" w:type="dxa"/>
            <w:shd w:val="clear" w:color="auto" w:fill="auto"/>
          </w:tcPr>
          <w:p w:rsidR="005D533D" w:rsidRPr="008E1AF1" w:rsidRDefault="005D533D" w:rsidP="008E1AF1">
            <w:pPr>
              <w:numPr>
                <w:ilvl w:val="0"/>
                <w:numId w:val="41"/>
              </w:numPr>
              <w:tabs>
                <w:tab w:val="left" w:pos="432"/>
                <w:tab w:val="left" w:pos="864"/>
              </w:tabs>
              <w:spacing w:line="320" w:lineRule="exact"/>
              <w:ind w:hanging="1080"/>
              <w:jc w:val="both"/>
              <w:rPr>
                <w:rFonts w:ascii="Arial" w:hAnsi="Arial" w:cs="Arial"/>
                <w:b/>
              </w:rPr>
            </w:pPr>
            <w:r w:rsidRPr="008E1AF1">
              <w:rPr>
                <w:rFonts w:ascii="Arial" w:hAnsi="Arial" w:cs="Arial"/>
                <w:b/>
              </w:rPr>
              <w:t xml:space="preserve">Budget </w:t>
            </w:r>
          </w:p>
        </w:tc>
        <w:tc>
          <w:tcPr>
            <w:tcW w:w="2560" w:type="dxa"/>
            <w:shd w:val="clear" w:color="auto" w:fill="auto"/>
          </w:tcPr>
          <w:p w:rsidR="005D533D" w:rsidRPr="008E1AF1" w:rsidRDefault="005D533D" w:rsidP="008E1AF1">
            <w:pPr>
              <w:numPr>
                <w:ilvl w:val="0"/>
                <w:numId w:val="41"/>
              </w:numPr>
              <w:tabs>
                <w:tab w:val="left" w:pos="432"/>
                <w:tab w:val="left" w:pos="864"/>
              </w:tabs>
              <w:spacing w:line="320" w:lineRule="exact"/>
              <w:ind w:hanging="1080"/>
              <w:jc w:val="both"/>
              <w:rPr>
                <w:rFonts w:ascii="Arial" w:hAnsi="Arial" w:cs="Arial"/>
                <w:b/>
              </w:rPr>
            </w:pPr>
            <w:r w:rsidRPr="008E1AF1">
              <w:rPr>
                <w:rFonts w:ascii="Arial" w:hAnsi="Arial" w:cs="Arial"/>
                <w:b/>
              </w:rPr>
              <w:t>Expenditure</w:t>
            </w:r>
          </w:p>
        </w:tc>
      </w:tr>
      <w:tr w:rsidR="005D533D" w:rsidRPr="008E1AF1" w:rsidTr="008E1AF1">
        <w:tc>
          <w:tcPr>
            <w:tcW w:w="3794"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p>
        </w:tc>
        <w:tc>
          <w:tcPr>
            <w:tcW w:w="2268" w:type="dxa"/>
            <w:shd w:val="clear" w:color="auto" w:fill="auto"/>
          </w:tcPr>
          <w:p w:rsidR="005D533D" w:rsidRPr="008E1AF1" w:rsidRDefault="005D533D" w:rsidP="008E1AF1">
            <w:pPr>
              <w:tabs>
                <w:tab w:val="left" w:pos="432"/>
                <w:tab w:val="left" w:pos="864"/>
              </w:tabs>
              <w:spacing w:line="320" w:lineRule="exact"/>
              <w:ind w:left="459" w:hanging="459"/>
              <w:jc w:val="both"/>
              <w:rPr>
                <w:rFonts w:ascii="Arial" w:hAnsi="Arial" w:cs="Arial"/>
                <w:b/>
              </w:rPr>
            </w:pPr>
            <w:r w:rsidRPr="008E1AF1">
              <w:rPr>
                <w:rFonts w:ascii="Arial" w:hAnsi="Arial" w:cs="Arial"/>
                <w:b/>
              </w:rPr>
              <w:t>R’000</w:t>
            </w:r>
          </w:p>
        </w:tc>
        <w:tc>
          <w:tcPr>
            <w:tcW w:w="2560" w:type="dxa"/>
            <w:shd w:val="clear" w:color="auto" w:fill="auto"/>
          </w:tcPr>
          <w:p w:rsidR="005D533D" w:rsidRPr="008E1AF1" w:rsidRDefault="005D533D" w:rsidP="008E1AF1">
            <w:pPr>
              <w:tabs>
                <w:tab w:val="left" w:pos="432"/>
                <w:tab w:val="left" w:pos="864"/>
              </w:tabs>
              <w:spacing w:line="320" w:lineRule="exact"/>
              <w:jc w:val="both"/>
              <w:rPr>
                <w:rFonts w:ascii="Arial" w:hAnsi="Arial" w:cs="Arial"/>
                <w:b/>
              </w:rPr>
            </w:pPr>
            <w:r w:rsidRPr="008E1AF1">
              <w:rPr>
                <w:rFonts w:ascii="Arial" w:hAnsi="Arial" w:cs="Arial"/>
                <w:b/>
              </w:rPr>
              <w:t>R’000</w:t>
            </w:r>
          </w:p>
        </w:tc>
      </w:tr>
      <w:tr w:rsidR="005D533D" w:rsidRPr="008E1AF1" w:rsidTr="008E1AF1">
        <w:tc>
          <w:tcPr>
            <w:tcW w:w="3794"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r w:rsidRPr="008E1AF1">
              <w:rPr>
                <w:rFonts w:ascii="Arial" w:hAnsi="Arial" w:cs="Arial"/>
              </w:rPr>
              <w:t>1 April 2015 – 31 March 2016</w:t>
            </w:r>
          </w:p>
        </w:tc>
        <w:tc>
          <w:tcPr>
            <w:tcW w:w="2268"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r w:rsidRPr="008E1AF1">
              <w:rPr>
                <w:rFonts w:ascii="Arial" w:hAnsi="Arial" w:cs="Arial"/>
              </w:rPr>
              <w:t>22 043</w:t>
            </w:r>
          </w:p>
        </w:tc>
        <w:tc>
          <w:tcPr>
            <w:tcW w:w="2560"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r w:rsidRPr="008E1AF1">
              <w:rPr>
                <w:rFonts w:ascii="Arial" w:hAnsi="Arial" w:cs="Arial"/>
              </w:rPr>
              <w:t>21 792</w:t>
            </w:r>
          </w:p>
        </w:tc>
      </w:tr>
      <w:tr w:rsidR="005D533D" w:rsidRPr="008E1AF1" w:rsidTr="008E1AF1">
        <w:tc>
          <w:tcPr>
            <w:tcW w:w="3794"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r w:rsidRPr="008E1AF1">
              <w:rPr>
                <w:rFonts w:ascii="Arial" w:hAnsi="Arial" w:cs="Arial"/>
              </w:rPr>
              <w:t>1 April 2016 – 31 March 2017</w:t>
            </w:r>
          </w:p>
        </w:tc>
        <w:tc>
          <w:tcPr>
            <w:tcW w:w="2268"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r w:rsidRPr="008E1AF1">
              <w:rPr>
                <w:rFonts w:ascii="Arial" w:hAnsi="Arial" w:cs="Arial"/>
              </w:rPr>
              <w:t>27 788</w:t>
            </w:r>
          </w:p>
        </w:tc>
        <w:tc>
          <w:tcPr>
            <w:tcW w:w="2560"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r w:rsidRPr="008E1AF1">
              <w:rPr>
                <w:rFonts w:ascii="Arial" w:hAnsi="Arial" w:cs="Arial"/>
              </w:rPr>
              <w:t>25 451</w:t>
            </w:r>
          </w:p>
        </w:tc>
      </w:tr>
      <w:tr w:rsidR="005D533D" w:rsidRPr="008E1AF1" w:rsidTr="008E1AF1">
        <w:tc>
          <w:tcPr>
            <w:tcW w:w="3794"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r w:rsidRPr="008E1AF1">
              <w:rPr>
                <w:rFonts w:ascii="Arial" w:hAnsi="Arial" w:cs="Arial"/>
              </w:rPr>
              <w:t>1 April 2017 – 23 February 2018</w:t>
            </w:r>
          </w:p>
        </w:tc>
        <w:tc>
          <w:tcPr>
            <w:tcW w:w="2268"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r w:rsidRPr="008E1AF1">
              <w:rPr>
                <w:rFonts w:ascii="Arial" w:hAnsi="Arial" w:cs="Arial"/>
              </w:rPr>
              <w:t>24 103</w:t>
            </w:r>
          </w:p>
        </w:tc>
        <w:tc>
          <w:tcPr>
            <w:tcW w:w="2560" w:type="dxa"/>
            <w:shd w:val="clear" w:color="auto" w:fill="auto"/>
          </w:tcPr>
          <w:p w:rsidR="005D533D" w:rsidRPr="008E1AF1" w:rsidRDefault="005D533D" w:rsidP="008E1AF1">
            <w:pPr>
              <w:tabs>
                <w:tab w:val="left" w:pos="432"/>
                <w:tab w:val="left" w:pos="864"/>
              </w:tabs>
              <w:spacing w:line="320" w:lineRule="exact"/>
              <w:jc w:val="both"/>
              <w:rPr>
                <w:rFonts w:ascii="Arial" w:hAnsi="Arial" w:cs="Arial"/>
              </w:rPr>
            </w:pPr>
            <w:r w:rsidRPr="008E1AF1">
              <w:rPr>
                <w:rFonts w:ascii="Arial" w:hAnsi="Arial" w:cs="Arial"/>
              </w:rPr>
              <w:t>14 091</w:t>
            </w:r>
          </w:p>
        </w:tc>
      </w:tr>
      <w:tr w:rsidR="005D533D" w:rsidRPr="008E1AF1" w:rsidTr="008E1AF1">
        <w:trPr>
          <w:trHeight w:val="514"/>
        </w:trPr>
        <w:tc>
          <w:tcPr>
            <w:tcW w:w="3794" w:type="dxa"/>
            <w:shd w:val="clear" w:color="auto" w:fill="auto"/>
          </w:tcPr>
          <w:p w:rsidR="005D533D" w:rsidRPr="008E1AF1" w:rsidRDefault="005D533D" w:rsidP="008E1AF1">
            <w:pPr>
              <w:tabs>
                <w:tab w:val="left" w:pos="432"/>
                <w:tab w:val="left" w:pos="864"/>
              </w:tabs>
              <w:spacing w:line="320" w:lineRule="exact"/>
              <w:jc w:val="both"/>
              <w:rPr>
                <w:rFonts w:ascii="Arial" w:hAnsi="Arial" w:cs="Arial"/>
                <w:b/>
              </w:rPr>
            </w:pPr>
          </w:p>
          <w:p w:rsidR="00573B01" w:rsidRPr="008E1AF1" w:rsidRDefault="00573B01" w:rsidP="008E1AF1">
            <w:pPr>
              <w:tabs>
                <w:tab w:val="left" w:pos="432"/>
                <w:tab w:val="left" w:pos="864"/>
              </w:tabs>
              <w:spacing w:line="320" w:lineRule="exact"/>
              <w:jc w:val="both"/>
              <w:rPr>
                <w:rFonts w:ascii="Arial" w:hAnsi="Arial" w:cs="Arial"/>
                <w:b/>
              </w:rPr>
            </w:pPr>
            <w:r w:rsidRPr="008E1AF1">
              <w:rPr>
                <w:rFonts w:ascii="Arial" w:hAnsi="Arial" w:cs="Arial"/>
                <w:b/>
              </w:rPr>
              <w:t>Total</w:t>
            </w:r>
          </w:p>
        </w:tc>
        <w:tc>
          <w:tcPr>
            <w:tcW w:w="2268" w:type="dxa"/>
            <w:shd w:val="clear" w:color="auto" w:fill="auto"/>
          </w:tcPr>
          <w:p w:rsidR="005D533D" w:rsidRPr="008E1AF1" w:rsidRDefault="005D533D" w:rsidP="008E1AF1">
            <w:pPr>
              <w:tabs>
                <w:tab w:val="left" w:pos="432"/>
                <w:tab w:val="left" w:pos="864"/>
              </w:tabs>
              <w:spacing w:line="320" w:lineRule="exact"/>
              <w:jc w:val="both"/>
              <w:rPr>
                <w:rFonts w:ascii="Arial" w:hAnsi="Arial" w:cs="Arial"/>
                <w:b/>
              </w:rPr>
            </w:pPr>
          </w:p>
          <w:p w:rsidR="00573B01" w:rsidRPr="008E1AF1" w:rsidRDefault="00573B01" w:rsidP="008E1AF1">
            <w:pPr>
              <w:tabs>
                <w:tab w:val="left" w:pos="432"/>
                <w:tab w:val="left" w:pos="864"/>
              </w:tabs>
              <w:spacing w:line="320" w:lineRule="exact"/>
              <w:jc w:val="both"/>
              <w:rPr>
                <w:rFonts w:ascii="Arial" w:hAnsi="Arial" w:cs="Arial"/>
                <w:b/>
              </w:rPr>
            </w:pPr>
            <w:r w:rsidRPr="008E1AF1">
              <w:rPr>
                <w:rFonts w:ascii="Arial" w:hAnsi="Arial" w:cs="Arial"/>
                <w:b/>
              </w:rPr>
              <w:t>73 934</w:t>
            </w:r>
          </w:p>
        </w:tc>
        <w:tc>
          <w:tcPr>
            <w:tcW w:w="2560" w:type="dxa"/>
            <w:shd w:val="clear" w:color="auto" w:fill="auto"/>
          </w:tcPr>
          <w:p w:rsidR="005D533D" w:rsidRPr="008E1AF1" w:rsidRDefault="005D533D" w:rsidP="008E1AF1">
            <w:pPr>
              <w:tabs>
                <w:tab w:val="left" w:pos="432"/>
                <w:tab w:val="left" w:pos="864"/>
              </w:tabs>
              <w:spacing w:line="320" w:lineRule="exact"/>
              <w:jc w:val="both"/>
              <w:rPr>
                <w:rFonts w:ascii="Arial" w:hAnsi="Arial" w:cs="Arial"/>
                <w:b/>
              </w:rPr>
            </w:pPr>
          </w:p>
          <w:p w:rsidR="00573B01" w:rsidRPr="008E1AF1" w:rsidRDefault="00573B01" w:rsidP="008E1AF1">
            <w:pPr>
              <w:tabs>
                <w:tab w:val="left" w:pos="432"/>
                <w:tab w:val="left" w:pos="864"/>
              </w:tabs>
              <w:spacing w:line="320" w:lineRule="exact"/>
              <w:jc w:val="both"/>
              <w:rPr>
                <w:rFonts w:ascii="Arial" w:hAnsi="Arial" w:cs="Arial"/>
                <w:b/>
              </w:rPr>
            </w:pPr>
            <w:r w:rsidRPr="008E1AF1">
              <w:rPr>
                <w:rFonts w:ascii="Arial" w:hAnsi="Arial" w:cs="Arial"/>
                <w:b/>
              </w:rPr>
              <w:t>61 334</w:t>
            </w:r>
          </w:p>
        </w:tc>
      </w:tr>
    </w:tbl>
    <w:p w:rsidR="005D533D" w:rsidRDefault="005D533D" w:rsidP="005D533D">
      <w:pPr>
        <w:tabs>
          <w:tab w:val="left" w:pos="432"/>
          <w:tab w:val="left" w:pos="864"/>
        </w:tabs>
        <w:spacing w:line="320" w:lineRule="exact"/>
        <w:jc w:val="both"/>
        <w:rPr>
          <w:rFonts w:ascii="Arial" w:hAnsi="Arial" w:cs="Arial"/>
        </w:rPr>
      </w:pPr>
    </w:p>
    <w:p w:rsidR="005D533D" w:rsidRDefault="005D533D" w:rsidP="00FE0303">
      <w:pPr>
        <w:tabs>
          <w:tab w:val="left" w:pos="432"/>
          <w:tab w:val="left" w:pos="864"/>
        </w:tabs>
        <w:spacing w:line="320" w:lineRule="exact"/>
        <w:jc w:val="both"/>
        <w:rPr>
          <w:rFonts w:ascii="Arial" w:hAnsi="Arial" w:cs="Arial"/>
        </w:rPr>
      </w:pPr>
    </w:p>
    <w:p w:rsidR="00FE0303" w:rsidRPr="00573B01" w:rsidRDefault="00FE0303" w:rsidP="008E1AF1">
      <w:pPr>
        <w:numPr>
          <w:ilvl w:val="0"/>
          <w:numId w:val="40"/>
        </w:numPr>
        <w:tabs>
          <w:tab w:val="left" w:pos="432"/>
          <w:tab w:val="left" w:pos="864"/>
        </w:tabs>
        <w:spacing w:line="320" w:lineRule="exact"/>
        <w:ind w:left="426" w:hanging="426"/>
        <w:jc w:val="both"/>
        <w:rPr>
          <w:rFonts w:ascii="Arial" w:hAnsi="Arial" w:cs="Arial"/>
        </w:rPr>
      </w:pPr>
      <w:r w:rsidRPr="00573B01">
        <w:rPr>
          <w:rFonts w:ascii="Arial" w:hAnsi="Arial" w:cs="Arial"/>
        </w:rPr>
        <w:t>The information requested at (b) (i) – (v), is herewith attached</w:t>
      </w:r>
      <w:r w:rsidR="00CD0F0D">
        <w:rPr>
          <w:rFonts w:ascii="Arial" w:hAnsi="Arial" w:cs="Arial"/>
        </w:rPr>
        <w:t xml:space="preserve"> as </w:t>
      </w:r>
      <w:r w:rsidR="00CD0F0D" w:rsidRPr="00CD0F0D">
        <w:rPr>
          <w:rFonts w:ascii="Arial" w:hAnsi="Arial" w:cs="Arial"/>
          <w:b/>
        </w:rPr>
        <w:t>Annexure A</w:t>
      </w:r>
      <w:r w:rsidRPr="00573B01">
        <w:rPr>
          <w:rFonts w:ascii="Arial" w:hAnsi="Arial" w:cs="Arial"/>
        </w:rPr>
        <w:t>.</w:t>
      </w:r>
    </w:p>
    <w:p w:rsidR="00AC39B0" w:rsidRDefault="00AC39B0" w:rsidP="00C3335E">
      <w:pPr>
        <w:tabs>
          <w:tab w:val="left" w:pos="432"/>
          <w:tab w:val="left" w:pos="864"/>
        </w:tabs>
        <w:spacing w:line="320" w:lineRule="exact"/>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sectPr w:rsidR="00E272CD" w:rsidSect="00573B01">
      <w:headerReference w:type="even" r:id="rId9"/>
      <w:headerReference w:type="default" r:id="rId10"/>
      <w:pgSz w:w="11907" w:h="16839" w:code="9"/>
      <w:pgMar w:top="568" w:right="180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DB" w:rsidRDefault="00EF51DB">
      <w:r>
        <w:separator/>
      </w:r>
    </w:p>
  </w:endnote>
  <w:endnote w:type="continuationSeparator" w:id="0">
    <w:p w:rsidR="00EF51DB" w:rsidRDefault="00EF5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DB" w:rsidRDefault="00EF51DB">
      <w:r>
        <w:separator/>
      </w:r>
    </w:p>
  </w:footnote>
  <w:footnote w:type="continuationSeparator" w:id="0">
    <w:p w:rsidR="00EF51DB" w:rsidRDefault="00EF5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388">
      <w:rPr>
        <w:rStyle w:val="PageNumber"/>
        <w:noProof/>
      </w:rPr>
      <w:t>2</w:t>
    </w:r>
    <w:r>
      <w:rPr>
        <w:rStyle w:val="PageNumber"/>
      </w:rPr>
      <w:fldChar w:fldCharType="end"/>
    </w:r>
  </w:p>
  <w:p w:rsidR="007914E8" w:rsidRDefault="007914E8">
    <w:pPr>
      <w:pStyle w:val="Header"/>
    </w:pPr>
  </w:p>
  <w:p w:rsidR="00573B01" w:rsidRDefault="00573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3E4002"/>
    <w:multiLevelType w:val="hybridMultilevel"/>
    <w:tmpl w:val="A2622E10"/>
    <w:lvl w:ilvl="0" w:tplc="A00C6E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FE54A4"/>
    <w:multiLevelType w:val="hybridMultilevel"/>
    <w:tmpl w:val="D0B8BC16"/>
    <w:lvl w:ilvl="0" w:tplc="E6168A8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B83848"/>
    <w:multiLevelType w:val="hybridMultilevel"/>
    <w:tmpl w:val="80165038"/>
    <w:lvl w:ilvl="0" w:tplc="6FC44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16"/>
  </w:num>
  <w:num w:numId="4">
    <w:abstractNumId w:val="23"/>
  </w:num>
  <w:num w:numId="5">
    <w:abstractNumId w:val="3"/>
  </w:num>
  <w:num w:numId="6">
    <w:abstractNumId w:val="22"/>
  </w:num>
  <w:num w:numId="7">
    <w:abstractNumId w:val="32"/>
  </w:num>
  <w:num w:numId="8">
    <w:abstractNumId w:val="38"/>
  </w:num>
  <w:num w:numId="9">
    <w:abstractNumId w:val="12"/>
  </w:num>
  <w:num w:numId="10">
    <w:abstractNumId w:val="36"/>
  </w:num>
  <w:num w:numId="11">
    <w:abstractNumId w:val="15"/>
  </w:num>
  <w:num w:numId="12">
    <w:abstractNumId w:val="6"/>
  </w:num>
  <w:num w:numId="13">
    <w:abstractNumId w:val="26"/>
  </w:num>
  <w:num w:numId="14">
    <w:abstractNumId w:val="35"/>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0"/>
  </w:num>
  <w:num w:numId="21">
    <w:abstractNumId w:val="29"/>
  </w:num>
  <w:num w:numId="22">
    <w:abstractNumId w:val="0"/>
  </w:num>
  <w:num w:numId="23">
    <w:abstractNumId w:val="9"/>
  </w:num>
  <w:num w:numId="24">
    <w:abstractNumId w:val="33"/>
  </w:num>
  <w:num w:numId="25">
    <w:abstractNumId w:val="4"/>
  </w:num>
  <w:num w:numId="26">
    <w:abstractNumId w:val="17"/>
  </w:num>
  <w:num w:numId="27">
    <w:abstractNumId w:val="25"/>
  </w:num>
  <w:num w:numId="28">
    <w:abstractNumId w:val="14"/>
  </w:num>
  <w:num w:numId="29">
    <w:abstractNumId w:val="30"/>
  </w:num>
  <w:num w:numId="30">
    <w:abstractNumId w:val="21"/>
  </w:num>
  <w:num w:numId="31">
    <w:abstractNumId w:val="8"/>
  </w:num>
  <w:num w:numId="32">
    <w:abstractNumId w:val="13"/>
  </w:num>
  <w:num w:numId="33">
    <w:abstractNumId w:val="24"/>
  </w:num>
  <w:num w:numId="34">
    <w:abstractNumId w:val="37"/>
  </w:num>
  <w:num w:numId="35">
    <w:abstractNumId w:val="1"/>
  </w:num>
  <w:num w:numId="36">
    <w:abstractNumId w:val="34"/>
  </w:num>
  <w:num w:numId="37">
    <w:abstractNumId w:val="7"/>
  </w:num>
  <w:num w:numId="38">
    <w:abstractNumId w:val="18"/>
  </w:num>
  <w:num w:numId="39">
    <w:abstractNumId w:val="20"/>
  </w:num>
  <w:num w:numId="40">
    <w:abstractNumId w:val="11"/>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C6F"/>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876"/>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6980"/>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E9F"/>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2719"/>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0B06"/>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056"/>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3D8"/>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388"/>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1A82"/>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01"/>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33D"/>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6FB"/>
    <w:rsid w:val="006929B1"/>
    <w:rsid w:val="0069350E"/>
    <w:rsid w:val="00693ADB"/>
    <w:rsid w:val="00694383"/>
    <w:rsid w:val="006948E8"/>
    <w:rsid w:val="00694E6E"/>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329"/>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3B84"/>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179"/>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47E0"/>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1AF1"/>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07B0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2514"/>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8CB"/>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0F0D"/>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1F77"/>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884"/>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51DB"/>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30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573B01"/>
    <w:pPr>
      <w:tabs>
        <w:tab w:val="center" w:pos="4513"/>
        <w:tab w:val="right" w:pos="9026"/>
      </w:tabs>
    </w:pPr>
  </w:style>
  <w:style w:type="character" w:customStyle="1" w:styleId="FooterChar">
    <w:name w:val="Footer Char"/>
    <w:link w:val="Footer"/>
    <w:rsid w:val="00573B01"/>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ABAC-3292-4728-B2B2-C823D0A0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2018-03-01T09:02:00Z</cp:lastPrinted>
  <dcterms:created xsi:type="dcterms:W3CDTF">2018-03-27T09:02:00Z</dcterms:created>
  <dcterms:modified xsi:type="dcterms:W3CDTF">2018-03-27T09:02:00Z</dcterms:modified>
</cp:coreProperties>
</file>