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C90109"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C90109">
        <w:rPr>
          <w:rFonts w:ascii="Arial" w:eastAsia="Arial Unicode MS" w:hAnsi="Arial" w:cs="Arial"/>
          <w:b/>
          <w:bCs/>
          <w:u w:val="single"/>
          <w:bdr w:val="nil"/>
          <w:lang w:val="en-US"/>
        </w:rPr>
        <w:t>NATIONAL ASSEMBLY:</w:t>
      </w:r>
    </w:p>
    <w:p w:rsidR="00DB6BD3" w:rsidRPr="00C90109"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C90109"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C90109">
        <w:rPr>
          <w:rFonts w:ascii="Arial" w:eastAsia="Arial Unicode MS" w:hAnsi="Arial" w:cs="Arial"/>
          <w:b/>
          <w:bCs/>
          <w:bdr w:val="nil"/>
          <w:lang w:val="en-US"/>
        </w:rPr>
        <w:t>QUESTION FOR WRITTEN REPLY:</w:t>
      </w:r>
    </w:p>
    <w:p w:rsidR="00DB6BD3" w:rsidRPr="00C90109" w:rsidRDefault="0047435B"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C90109">
        <w:rPr>
          <w:rFonts w:ascii="Arial" w:eastAsia="Arial Unicode MS" w:hAnsi="Arial" w:cs="Arial"/>
          <w:b/>
          <w:bCs/>
          <w:bdr w:val="nil"/>
          <w:lang w:val="en-US"/>
        </w:rPr>
        <w:t>Question Number:</w:t>
      </w:r>
      <w:r w:rsidRPr="00C90109">
        <w:rPr>
          <w:rFonts w:ascii="Arial" w:eastAsia="Arial Unicode MS" w:hAnsi="Arial" w:cs="Arial"/>
          <w:b/>
          <w:bCs/>
          <w:bdr w:val="nil"/>
          <w:lang w:val="en-US"/>
        </w:rPr>
        <w:tab/>
      </w:r>
      <w:r w:rsidRPr="00C90109">
        <w:rPr>
          <w:rFonts w:ascii="Arial" w:eastAsia="Arial Unicode MS" w:hAnsi="Arial" w:cs="Arial"/>
          <w:b/>
          <w:bCs/>
          <w:bdr w:val="nil"/>
          <w:lang w:val="en-US"/>
        </w:rPr>
        <w:tab/>
        <w:t>3544</w:t>
      </w:r>
    </w:p>
    <w:p w:rsidR="00DB6BD3" w:rsidRPr="00C90109"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C90109">
        <w:rPr>
          <w:rFonts w:ascii="Arial" w:eastAsia="Arial Unicode MS" w:hAnsi="Arial" w:cs="Arial"/>
          <w:b/>
          <w:bCs/>
          <w:bdr w:val="nil"/>
          <w:lang w:val="en-US"/>
        </w:rPr>
        <w:t>Date of Publication:</w:t>
      </w:r>
      <w:r w:rsidRPr="00C90109">
        <w:rPr>
          <w:rFonts w:ascii="Arial" w:eastAsia="Arial Unicode MS" w:hAnsi="Arial" w:cs="Arial"/>
          <w:b/>
          <w:bCs/>
          <w:bdr w:val="nil"/>
          <w:lang w:val="en-US"/>
        </w:rPr>
        <w:tab/>
      </w:r>
      <w:r w:rsidRPr="00C90109">
        <w:rPr>
          <w:rFonts w:ascii="Arial" w:eastAsia="Arial Unicode MS" w:hAnsi="Arial" w:cs="Arial"/>
          <w:b/>
          <w:bCs/>
          <w:bdr w:val="nil"/>
          <w:lang w:val="en-US"/>
        </w:rPr>
        <w:tab/>
      </w:r>
      <w:r w:rsidR="0047435B" w:rsidRPr="00C90109">
        <w:rPr>
          <w:rFonts w:ascii="Arial" w:eastAsia="Arial Unicode MS" w:hAnsi="Arial" w:cs="Arial"/>
          <w:b/>
          <w:bCs/>
          <w:bdr w:val="nil"/>
          <w:lang w:val="en-US"/>
        </w:rPr>
        <w:t>14 October</w:t>
      </w:r>
      <w:r w:rsidR="005F1119" w:rsidRPr="00C90109">
        <w:rPr>
          <w:rFonts w:ascii="Arial" w:eastAsia="Arial Unicode MS" w:hAnsi="Arial" w:cs="Arial"/>
          <w:b/>
          <w:bCs/>
          <w:bdr w:val="nil"/>
          <w:lang w:val="en-US"/>
        </w:rPr>
        <w:t xml:space="preserve"> 2022</w:t>
      </w:r>
    </w:p>
    <w:p w:rsidR="00DB6BD3" w:rsidRPr="00C90109" w:rsidRDefault="0047435B"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C90109">
        <w:rPr>
          <w:rFonts w:ascii="Arial" w:eastAsia="Arial Unicode MS" w:hAnsi="Arial" w:cs="Arial"/>
          <w:b/>
          <w:bCs/>
          <w:bdr w:val="nil"/>
          <w:lang w:val="en-US"/>
        </w:rPr>
        <w:t>NA IQP Number:</w:t>
      </w:r>
      <w:r w:rsidRPr="00C90109">
        <w:rPr>
          <w:rFonts w:ascii="Arial" w:eastAsia="Arial Unicode MS" w:hAnsi="Arial" w:cs="Arial"/>
          <w:b/>
          <w:bCs/>
          <w:bdr w:val="nil"/>
          <w:lang w:val="en-US"/>
        </w:rPr>
        <w:tab/>
      </w:r>
      <w:r w:rsidRPr="00C90109">
        <w:rPr>
          <w:rFonts w:ascii="Arial" w:eastAsia="Arial Unicode MS" w:hAnsi="Arial" w:cs="Arial"/>
          <w:b/>
          <w:bCs/>
          <w:bdr w:val="nil"/>
          <w:lang w:val="en-US"/>
        </w:rPr>
        <w:tab/>
        <w:t>38</w:t>
      </w:r>
    </w:p>
    <w:p w:rsidR="00DB6BD3" w:rsidRPr="00C90109"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C90109">
        <w:rPr>
          <w:rFonts w:ascii="Arial" w:eastAsia="Arial Unicode MS" w:hAnsi="Arial" w:cs="Arial"/>
          <w:b/>
          <w:bCs/>
          <w:bdr w:val="nil"/>
          <w:lang w:val="en-US"/>
        </w:rPr>
        <w:t>Date of reply:</w:t>
      </w:r>
      <w:r w:rsidRPr="00C90109">
        <w:rPr>
          <w:rFonts w:ascii="Arial" w:eastAsia="Arial Unicode MS" w:hAnsi="Arial" w:cs="Arial"/>
          <w:b/>
          <w:bCs/>
          <w:bdr w:val="nil"/>
          <w:lang w:val="en-US"/>
        </w:rPr>
        <w:tab/>
      </w:r>
      <w:r w:rsidRPr="00C90109">
        <w:rPr>
          <w:rFonts w:ascii="Arial" w:eastAsia="Arial Unicode MS" w:hAnsi="Arial" w:cs="Arial"/>
          <w:b/>
          <w:bCs/>
          <w:bdr w:val="nil"/>
          <w:lang w:val="en-US"/>
        </w:rPr>
        <w:tab/>
      </w:r>
      <w:r w:rsidR="008D3E28">
        <w:rPr>
          <w:rFonts w:ascii="Arial" w:eastAsia="Arial Unicode MS" w:hAnsi="Arial" w:cs="Arial"/>
          <w:b/>
          <w:bCs/>
          <w:bdr w:val="nil"/>
          <w:lang w:val="en-US"/>
        </w:rPr>
        <w:tab/>
        <w:t>17 December 2022</w:t>
      </w:r>
    </w:p>
    <w:p w:rsidR="00DB6BD3" w:rsidRPr="00C90109"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C90109" w:rsidRDefault="00736B41" w:rsidP="00DB6BD3">
      <w:pPr>
        <w:spacing w:before="100" w:beforeAutospacing="1" w:after="100" w:afterAutospacing="1" w:line="240" w:lineRule="auto"/>
        <w:jc w:val="both"/>
        <w:outlineLvl w:val="0"/>
        <w:rPr>
          <w:rFonts w:ascii="Arial" w:eastAsia="Calibri" w:hAnsi="Arial" w:cs="Arial"/>
          <w:b/>
          <w:lang w:val="af-ZA"/>
        </w:rPr>
      </w:pPr>
      <w:r w:rsidRPr="00C90109">
        <w:rPr>
          <w:rFonts w:ascii="Arial" w:eastAsia="Calibri" w:hAnsi="Arial" w:cs="Arial"/>
          <w:b/>
          <w:lang w:val="af-ZA"/>
        </w:rPr>
        <w:t xml:space="preserve">Mr </w:t>
      </w:r>
      <w:r w:rsidR="0093463C" w:rsidRPr="00C90109">
        <w:rPr>
          <w:rFonts w:ascii="Arial" w:eastAsia="Calibri" w:hAnsi="Arial" w:cs="Arial"/>
          <w:b/>
          <w:lang w:val="af-ZA"/>
        </w:rPr>
        <w:t>M S F de Freitas (DA</w:t>
      </w:r>
      <w:r w:rsidRPr="00C90109">
        <w:rPr>
          <w:rFonts w:ascii="Arial" w:eastAsia="Calibri" w:hAnsi="Arial" w:cs="Arial"/>
          <w:b/>
          <w:lang w:val="af-ZA"/>
        </w:rPr>
        <w:t xml:space="preserve">) </w:t>
      </w:r>
      <w:r w:rsidR="00DB6BD3" w:rsidRPr="00C90109">
        <w:rPr>
          <w:rFonts w:ascii="Arial" w:eastAsia="Calibri" w:hAnsi="Arial" w:cs="Arial"/>
          <w:b/>
          <w:lang w:val="af-ZA"/>
        </w:rPr>
        <w:t xml:space="preserve">to ask the Minister of Tourism:  </w:t>
      </w:r>
    </w:p>
    <w:p w:rsidR="0047435B" w:rsidRPr="00C90109" w:rsidRDefault="00D36FDA" w:rsidP="0047435B">
      <w:pPr>
        <w:pBdr>
          <w:top w:val="nil"/>
          <w:left w:val="nil"/>
          <w:bottom w:val="nil"/>
          <w:right w:val="nil"/>
          <w:between w:val="nil"/>
          <w:bar w:val="nil"/>
        </w:pBdr>
        <w:spacing w:after="0" w:line="360" w:lineRule="auto"/>
        <w:ind w:left="567" w:hanging="567"/>
        <w:jc w:val="both"/>
        <w:rPr>
          <w:rFonts w:ascii="Arial" w:eastAsia="Calibri" w:hAnsi="Arial" w:cs="Arial"/>
        </w:rPr>
      </w:pPr>
      <w:r>
        <w:rPr>
          <w:rFonts w:ascii="Arial" w:eastAsia="Calibri" w:hAnsi="Arial" w:cs="Arial"/>
        </w:rPr>
        <w:t>(</w:t>
      </w:r>
      <w:r w:rsidR="0047435B" w:rsidRPr="00C90109">
        <w:rPr>
          <w:rFonts w:ascii="Arial" w:eastAsia="Calibri" w:hAnsi="Arial" w:cs="Arial"/>
        </w:rPr>
        <w:t xml:space="preserve">1) </w:t>
      </w:r>
      <w:r w:rsidR="0047435B" w:rsidRPr="00C90109">
        <w:rPr>
          <w:rFonts w:ascii="Arial" w:eastAsia="Calibri" w:hAnsi="Arial" w:cs="Arial"/>
        </w:rPr>
        <w:tab/>
        <w:t>(</w:t>
      </w:r>
      <w:proofErr w:type="gramStart"/>
      <w:r w:rsidR="0047435B" w:rsidRPr="00C90109">
        <w:rPr>
          <w:rFonts w:ascii="Arial" w:eastAsia="Calibri" w:hAnsi="Arial" w:cs="Arial"/>
        </w:rPr>
        <w:t>a</w:t>
      </w:r>
      <w:proofErr w:type="gramEnd"/>
      <w:r w:rsidR="0047435B" w:rsidRPr="00C90109">
        <w:rPr>
          <w:rFonts w:ascii="Arial" w:eastAsia="Calibri" w:hAnsi="Arial" w:cs="Arial"/>
        </w:rPr>
        <w:t>) What amount was (</w:t>
      </w:r>
      <w:proofErr w:type="spellStart"/>
      <w:r w:rsidR="0047435B" w:rsidRPr="00C90109">
        <w:rPr>
          <w:rFonts w:ascii="Arial" w:eastAsia="Calibri" w:hAnsi="Arial" w:cs="Arial"/>
        </w:rPr>
        <w:t>i</w:t>
      </w:r>
      <w:proofErr w:type="spellEnd"/>
      <w:r w:rsidR="0047435B" w:rsidRPr="00C90109">
        <w:rPr>
          <w:rFonts w:ascii="Arial" w:eastAsia="Calibri" w:hAnsi="Arial" w:cs="Arial"/>
        </w:rPr>
        <w:t>) budgeted and (ii) actually received with regard to the grading fees in each (</w:t>
      </w:r>
      <w:proofErr w:type="spellStart"/>
      <w:r w:rsidR="0047435B" w:rsidRPr="00C90109">
        <w:rPr>
          <w:rFonts w:ascii="Arial" w:eastAsia="Calibri" w:hAnsi="Arial" w:cs="Arial"/>
        </w:rPr>
        <w:t>i</w:t>
      </w:r>
      <w:proofErr w:type="spellEnd"/>
      <w:r w:rsidR="0047435B" w:rsidRPr="00C90109">
        <w:rPr>
          <w:rFonts w:ascii="Arial" w:eastAsia="Calibri" w:hAnsi="Arial" w:cs="Arial"/>
        </w:rPr>
        <w:t>) province and (ii) of the past three financial years;</w:t>
      </w:r>
    </w:p>
    <w:p w:rsidR="00DA6EE7" w:rsidRPr="00C90109" w:rsidRDefault="0047435B" w:rsidP="0047435B">
      <w:pPr>
        <w:pBdr>
          <w:top w:val="nil"/>
          <w:left w:val="nil"/>
          <w:bottom w:val="nil"/>
          <w:right w:val="nil"/>
          <w:between w:val="nil"/>
          <w:bar w:val="nil"/>
        </w:pBdr>
        <w:spacing w:after="0" w:line="360" w:lineRule="auto"/>
        <w:ind w:left="567" w:hanging="567"/>
        <w:jc w:val="both"/>
        <w:rPr>
          <w:rFonts w:ascii="Arial" w:eastAsia="Calibri" w:hAnsi="Arial" w:cs="Arial"/>
        </w:rPr>
      </w:pPr>
      <w:r w:rsidRPr="00C90109">
        <w:rPr>
          <w:rFonts w:ascii="Arial" w:eastAsia="Calibri" w:hAnsi="Arial" w:cs="Arial"/>
        </w:rPr>
        <w:t xml:space="preserve">(2) </w:t>
      </w:r>
      <w:r w:rsidRPr="00C90109">
        <w:rPr>
          <w:rFonts w:ascii="Arial" w:eastAsia="Calibri" w:hAnsi="Arial" w:cs="Arial"/>
        </w:rPr>
        <w:tab/>
      </w:r>
      <w:proofErr w:type="gramStart"/>
      <w:r w:rsidRPr="00C90109">
        <w:rPr>
          <w:rFonts w:ascii="Arial" w:eastAsia="Calibri" w:hAnsi="Arial" w:cs="Arial"/>
        </w:rPr>
        <w:t>what</w:t>
      </w:r>
      <w:proofErr w:type="gramEnd"/>
      <w:r w:rsidRPr="00C90109">
        <w:rPr>
          <w:rFonts w:ascii="Arial" w:eastAsia="Calibri" w:hAnsi="Arial" w:cs="Arial"/>
        </w:rPr>
        <w:t xml:space="preserve"> (a) were the reasons for the discrepancies in each case and (b) steps have been taken so that the discrepancies are not repeated in future? </w:t>
      </w:r>
      <w:r w:rsidRPr="00C90109">
        <w:rPr>
          <w:rFonts w:ascii="Arial" w:eastAsia="Calibri" w:hAnsi="Arial" w:cs="Arial"/>
        </w:rPr>
        <w:tab/>
      </w:r>
      <w:r w:rsidRPr="00C90109">
        <w:rPr>
          <w:rFonts w:ascii="Arial" w:eastAsia="Calibri" w:hAnsi="Arial" w:cs="Arial"/>
        </w:rPr>
        <w:tab/>
      </w:r>
      <w:r w:rsidRPr="00C90109">
        <w:rPr>
          <w:rFonts w:ascii="Arial" w:eastAsia="Calibri" w:hAnsi="Arial" w:cs="Arial"/>
        </w:rPr>
        <w:tab/>
      </w:r>
      <w:r w:rsidRPr="00C90109">
        <w:rPr>
          <w:rFonts w:ascii="Arial" w:eastAsia="Calibri" w:hAnsi="Arial" w:cs="Arial"/>
        </w:rPr>
        <w:tab/>
        <w:t>NW4114E</w:t>
      </w:r>
    </w:p>
    <w:p w:rsidR="003F3E1D" w:rsidRPr="00C90109" w:rsidRDefault="003F3E1D" w:rsidP="003F3E1D">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C90109">
        <w:rPr>
          <w:rFonts w:ascii="Arial" w:eastAsia="Arial Unicode MS" w:hAnsi="Arial" w:cs="Arial"/>
          <w:b/>
          <w:bCs/>
          <w:bdr w:val="nil"/>
          <w:lang w:val="en-US"/>
        </w:rPr>
        <w:t>REPLY</w:t>
      </w:r>
      <w:r w:rsidR="004F2C4A" w:rsidRPr="00C90109">
        <w:rPr>
          <w:rFonts w:ascii="Arial" w:eastAsia="Arial Unicode MS" w:hAnsi="Arial" w:cs="Arial"/>
          <w:b/>
          <w:bCs/>
          <w:bdr w:val="nil"/>
          <w:lang w:val="en-US"/>
        </w:rPr>
        <w:t>:</w:t>
      </w:r>
    </w:p>
    <w:p w:rsidR="000830C6" w:rsidRDefault="006F5EC4" w:rsidP="00D36FDA">
      <w:pPr>
        <w:pBdr>
          <w:top w:val="nil"/>
          <w:left w:val="nil"/>
          <w:bottom w:val="nil"/>
          <w:right w:val="nil"/>
          <w:between w:val="nil"/>
          <w:bar w:val="nil"/>
        </w:pBdr>
        <w:tabs>
          <w:tab w:val="left" w:pos="567"/>
        </w:tabs>
        <w:spacing w:after="0" w:line="360" w:lineRule="auto"/>
        <w:jc w:val="both"/>
        <w:rPr>
          <w:rFonts w:ascii="Arial" w:eastAsia="Times New Roman" w:hAnsi="Arial" w:cs="Arial"/>
          <w:bCs/>
          <w:lang w:bidi="en-US"/>
        </w:rPr>
      </w:pPr>
      <w:r w:rsidRPr="00D61EA9">
        <w:rPr>
          <w:rFonts w:ascii="Arial" w:eastAsia="Times New Roman" w:hAnsi="Arial" w:cs="Arial"/>
          <w:bCs/>
          <w:lang w:bidi="en-US"/>
        </w:rPr>
        <w:t xml:space="preserve">Grading </w:t>
      </w:r>
      <w:r w:rsidR="009D3CB8" w:rsidRPr="00D61EA9">
        <w:rPr>
          <w:rFonts w:ascii="Arial" w:eastAsia="Times New Roman" w:hAnsi="Arial" w:cs="Arial"/>
          <w:bCs/>
          <w:lang w:bidi="en-US"/>
        </w:rPr>
        <w:t>fee</w:t>
      </w:r>
      <w:r w:rsidRPr="00D61EA9">
        <w:rPr>
          <w:rFonts w:ascii="Arial" w:eastAsia="Times New Roman" w:hAnsi="Arial" w:cs="Arial"/>
          <w:bCs/>
          <w:lang w:bidi="en-US"/>
        </w:rPr>
        <w:t>s</w:t>
      </w:r>
      <w:r w:rsidR="009D3CB8" w:rsidRPr="00D61EA9">
        <w:rPr>
          <w:rFonts w:ascii="Arial" w:eastAsia="Times New Roman" w:hAnsi="Arial" w:cs="Arial"/>
          <w:bCs/>
          <w:lang w:bidi="en-US"/>
        </w:rPr>
        <w:t xml:space="preserve"> charged by TGCSA is determined by three (3) variables namely the number of units the establishment has, the category of the establishment and the average room rate. </w:t>
      </w:r>
      <w:r w:rsidR="000830C6" w:rsidRPr="00D61EA9">
        <w:rPr>
          <w:rFonts w:ascii="Arial" w:eastAsia="Times New Roman" w:hAnsi="Arial" w:cs="Arial"/>
          <w:bCs/>
          <w:lang w:bidi="en-US"/>
        </w:rPr>
        <w:t>The National Grading system is a voluntary scheme and membership is reliant on members’ intention to be graded.  Targets are based on the South African Tourism Annual Performance targets</w:t>
      </w:r>
      <w:r w:rsidR="00D36FDA">
        <w:rPr>
          <w:rFonts w:ascii="Arial" w:eastAsia="Times New Roman" w:hAnsi="Arial" w:cs="Arial"/>
          <w:bCs/>
          <w:lang w:bidi="en-US"/>
        </w:rPr>
        <w:t>.</w:t>
      </w:r>
    </w:p>
    <w:p w:rsidR="00520FA0" w:rsidRPr="00D61EA9" w:rsidRDefault="00520FA0" w:rsidP="00D36FDA">
      <w:pPr>
        <w:pBdr>
          <w:top w:val="nil"/>
          <w:left w:val="nil"/>
          <w:bottom w:val="nil"/>
          <w:right w:val="nil"/>
          <w:between w:val="nil"/>
          <w:bar w:val="nil"/>
        </w:pBdr>
        <w:tabs>
          <w:tab w:val="left" w:pos="567"/>
        </w:tabs>
        <w:spacing w:after="0" w:line="360" w:lineRule="auto"/>
        <w:jc w:val="both"/>
        <w:rPr>
          <w:rFonts w:ascii="Arial" w:eastAsia="Times New Roman" w:hAnsi="Arial" w:cs="Arial"/>
          <w:bCs/>
          <w:lang w:bidi="en-US"/>
        </w:rPr>
      </w:pPr>
    </w:p>
    <w:p w:rsidR="00520FA0" w:rsidRPr="00D36FDA" w:rsidRDefault="00520FA0" w:rsidP="00520FA0">
      <w:pPr>
        <w:pStyle w:val="ListParagraph"/>
        <w:keepNext/>
        <w:keepLines/>
        <w:numPr>
          <w:ilvl w:val="0"/>
          <w:numId w:val="33"/>
        </w:numPr>
        <w:spacing w:after="0" w:line="240" w:lineRule="auto"/>
        <w:ind w:left="357" w:hanging="357"/>
        <w:jc w:val="both"/>
        <w:outlineLvl w:val="0"/>
        <w:rPr>
          <w:rFonts w:ascii="Arial" w:eastAsia="Times New Roman" w:hAnsi="Arial" w:cs="Arial"/>
          <w:bCs/>
          <w:lang w:bidi="en-US"/>
        </w:rPr>
      </w:pPr>
      <w:r>
        <w:rPr>
          <w:rFonts w:ascii="Arial" w:eastAsia="Times New Roman" w:hAnsi="Arial" w:cs="Arial"/>
          <w:bCs/>
          <w:lang w:bidi="en-US"/>
        </w:rPr>
        <w:t>(a)</w:t>
      </w:r>
      <w:r w:rsidR="00D36FDA">
        <w:rPr>
          <w:rFonts w:ascii="Arial" w:eastAsia="Times New Roman" w:hAnsi="Arial" w:cs="Arial"/>
          <w:bCs/>
          <w:lang w:bidi="en-US"/>
        </w:rPr>
        <w:t>(</w:t>
      </w:r>
      <w:proofErr w:type="spellStart"/>
      <w:r w:rsidR="00D36FDA">
        <w:rPr>
          <w:rFonts w:ascii="Arial" w:eastAsia="Times New Roman" w:hAnsi="Arial" w:cs="Arial"/>
          <w:bCs/>
          <w:lang w:bidi="en-US"/>
        </w:rPr>
        <w:t>i</w:t>
      </w:r>
      <w:proofErr w:type="spellEnd"/>
      <w:r w:rsidR="00D36FDA">
        <w:rPr>
          <w:rFonts w:ascii="Arial" w:eastAsia="Times New Roman" w:hAnsi="Arial" w:cs="Arial"/>
          <w:bCs/>
          <w:lang w:bidi="en-US"/>
        </w:rPr>
        <w:t>)-(ii)</w:t>
      </w:r>
      <w:r w:rsidRPr="00520FA0">
        <w:rPr>
          <w:rFonts w:ascii="Arial" w:eastAsia="Times New Roman" w:hAnsi="Arial" w:cs="Arial"/>
          <w:bCs/>
          <w:lang w:bidi="en-US"/>
        </w:rPr>
        <w:t xml:space="preserve"> </w:t>
      </w:r>
      <w:r w:rsidRPr="00D36FDA">
        <w:rPr>
          <w:rFonts w:ascii="Arial" w:eastAsia="Times New Roman" w:hAnsi="Arial" w:cs="Arial"/>
          <w:bCs/>
          <w:lang w:bidi="en-US"/>
        </w:rPr>
        <w:t>The target for number of graded establishments for the period with accompanying budget and revenue is below:</w:t>
      </w:r>
    </w:p>
    <w:p w:rsidR="00D36FDA" w:rsidRPr="00520FA0" w:rsidRDefault="00D36FDA" w:rsidP="00520FA0">
      <w:pPr>
        <w:jc w:val="both"/>
        <w:rPr>
          <w:rFonts w:ascii="Arial" w:eastAsia="Times New Roman" w:hAnsi="Arial" w:cs="Arial"/>
          <w:bCs/>
          <w:lang w:bidi="en-US"/>
        </w:rPr>
      </w:pPr>
      <w:r w:rsidRPr="00520FA0">
        <w:rPr>
          <w:rFonts w:ascii="Arial" w:eastAsia="Times New Roman" w:hAnsi="Arial" w:cs="Arial"/>
          <w:bCs/>
          <w:lang w:bidi="en-US"/>
        </w:rPr>
        <w:tab/>
      </w:r>
      <w:r w:rsidRPr="00520FA0">
        <w:rPr>
          <w:rFonts w:ascii="Arial" w:eastAsia="Times New Roman" w:hAnsi="Arial" w:cs="Arial"/>
          <w:bCs/>
          <w:lang w:bidi="en-US"/>
        </w:rPr>
        <w:tab/>
      </w:r>
    </w:p>
    <w:tbl>
      <w:tblPr>
        <w:tblStyle w:val="TableGrid"/>
        <w:tblW w:w="0" w:type="auto"/>
        <w:tblLook w:val="04A0"/>
      </w:tblPr>
      <w:tblGrid>
        <w:gridCol w:w="964"/>
        <w:gridCol w:w="1112"/>
        <w:gridCol w:w="1339"/>
        <w:gridCol w:w="1550"/>
        <w:gridCol w:w="1550"/>
        <w:gridCol w:w="993"/>
        <w:gridCol w:w="2405"/>
      </w:tblGrid>
      <w:tr w:rsidR="00520FA0" w:rsidTr="00520FA0">
        <w:tc>
          <w:tcPr>
            <w:tcW w:w="964"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Pr>
                <w:rFonts w:ascii="Arial" w:eastAsia="Times New Roman" w:hAnsi="Arial" w:cs="Arial"/>
                <w:bCs/>
                <w:lang w:bidi="en-US"/>
              </w:rPr>
              <w:t xml:space="preserve"> </w:t>
            </w:r>
            <w:r w:rsidRPr="000830C6">
              <w:rPr>
                <w:rFonts w:ascii="Arial Narrow" w:eastAsia="Times New Roman" w:hAnsi="Arial Narrow" w:cs="Arial"/>
                <w:b/>
                <w:bCs/>
                <w:color w:val="000000"/>
                <w:lang w:eastAsia="en-ZA" w:bidi="en-US"/>
              </w:rPr>
              <w:t>Year</w:t>
            </w:r>
          </w:p>
        </w:tc>
        <w:tc>
          <w:tcPr>
            <w:tcW w:w="1112"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sidRPr="000830C6">
              <w:rPr>
                <w:rFonts w:ascii="Arial Narrow" w:eastAsia="Times New Roman" w:hAnsi="Arial Narrow" w:cs="Arial"/>
                <w:b/>
                <w:bCs/>
                <w:color w:val="000000"/>
                <w:lang w:eastAsia="en-ZA" w:bidi="en-US"/>
              </w:rPr>
              <w:t>TGCSA Budget</w:t>
            </w:r>
          </w:p>
        </w:tc>
        <w:tc>
          <w:tcPr>
            <w:tcW w:w="1339"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sidRPr="00D61EA9">
              <w:rPr>
                <w:rFonts w:ascii="Arial Narrow" w:eastAsia="Times New Roman" w:hAnsi="Arial Narrow" w:cs="Arial"/>
                <w:b/>
                <w:bCs/>
                <w:color w:val="000000"/>
                <w:lang w:eastAsia="en-ZA" w:bidi="en-US"/>
              </w:rPr>
              <w:t>TGCSA Revenue Received</w:t>
            </w:r>
          </w:p>
        </w:tc>
        <w:tc>
          <w:tcPr>
            <w:tcW w:w="1550"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sidRPr="000830C6">
              <w:rPr>
                <w:rFonts w:ascii="Arial Narrow" w:eastAsia="Times New Roman" w:hAnsi="Arial Narrow" w:cs="Arial"/>
                <w:b/>
                <w:bCs/>
                <w:color w:val="000000"/>
                <w:lang w:eastAsia="en-ZA" w:bidi="en-US"/>
              </w:rPr>
              <w:t>Target Graded Establishments</w:t>
            </w:r>
          </w:p>
        </w:tc>
        <w:tc>
          <w:tcPr>
            <w:tcW w:w="1550"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sidRPr="000830C6">
              <w:rPr>
                <w:rFonts w:ascii="Arial Narrow" w:eastAsia="Times New Roman" w:hAnsi="Arial Narrow" w:cs="Arial"/>
                <w:b/>
                <w:bCs/>
                <w:color w:val="000000"/>
                <w:lang w:eastAsia="en-ZA" w:bidi="en-US"/>
              </w:rPr>
              <w:t>Actual Graded Establishments</w:t>
            </w:r>
          </w:p>
        </w:tc>
        <w:tc>
          <w:tcPr>
            <w:tcW w:w="993"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sidRPr="000830C6">
              <w:rPr>
                <w:rFonts w:ascii="Arial Narrow" w:eastAsia="Times New Roman" w:hAnsi="Arial Narrow" w:cs="Arial"/>
                <w:b/>
                <w:bCs/>
                <w:color w:val="000000"/>
                <w:lang w:eastAsia="en-ZA"/>
              </w:rPr>
              <w:t>Variance</w:t>
            </w:r>
          </w:p>
        </w:tc>
        <w:tc>
          <w:tcPr>
            <w:tcW w:w="2405" w:type="dxa"/>
            <w:shd w:val="clear" w:color="auto" w:fill="D9D9D9" w:themeFill="background1" w:themeFillShade="D9"/>
            <w:vAlign w:val="center"/>
          </w:tcPr>
          <w:p w:rsidR="00D36FDA" w:rsidRDefault="00D36FDA" w:rsidP="00D36FDA">
            <w:pPr>
              <w:jc w:val="both"/>
              <w:rPr>
                <w:rFonts w:ascii="Arial" w:eastAsia="Times New Roman" w:hAnsi="Arial" w:cs="Arial"/>
                <w:bCs/>
                <w:lang w:bidi="en-US"/>
              </w:rPr>
            </w:pPr>
            <w:r w:rsidRPr="000830C6">
              <w:rPr>
                <w:rFonts w:ascii="Arial Narrow" w:eastAsia="Times New Roman" w:hAnsi="Arial Narrow" w:cs="Arial"/>
                <w:b/>
                <w:bCs/>
                <w:color w:val="000000"/>
                <w:lang w:eastAsia="en-ZA"/>
              </w:rPr>
              <w:t>Reason for Variance</w:t>
            </w:r>
          </w:p>
        </w:tc>
      </w:tr>
      <w:tr w:rsidR="00520FA0" w:rsidTr="00520FA0">
        <w:tc>
          <w:tcPr>
            <w:tcW w:w="964" w:type="dxa"/>
            <w:vAlign w:val="center"/>
          </w:tcPr>
          <w:p w:rsidR="00520FA0" w:rsidRDefault="00520FA0" w:rsidP="00520FA0">
            <w:pPr>
              <w:jc w:val="both"/>
              <w:rPr>
                <w:rFonts w:ascii="Arial" w:eastAsia="Times New Roman" w:hAnsi="Arial" w:cs="Arial"/>
                <w:bCs/>
                <w:lang w:bidi="en-US"/>
              </w:rPr>
            </w:pPr>
            <w:r w:rsidRPr="00AD65A5">
              <w:rPr>
                <w:rFonts w:ascii="Arial Narrow" w:eastAsia="Times New Roman" w:hAnsi="Arial Narrow" w:cs="Arial"/>
                <w:b/>
                <w:bCs/>
                <w:color w:val="000000"/>
                <w:lang w:eastAsia="en-ZA" w:bidi="en-US"/>
              </w:rPr>
              <w:t>2019/20</w:t>
            </w:r>
          </w:p>
        </w:tc>
        <w:tc>
          <w:tcPr>
            <w:tcW w:w="1112"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R 58 M</w:t>
            </w:r>
          </w:p>
        </w:tc>
        <w:tc>
          <w:tcPr>
            <w:tcW w:w="1339"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R 23 M</w:t>
            </w:r>
          </w:p>
        </w:tc>
        <w:tc>
          <w:tcPr>
            <w:tcW w:w="1550"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6229</w:t>
            </w:r>
          </w:p>
        </w:tc>
        <w:tc>
          <w:tcPr>
            <w:tcW w:w="1550"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5 173</w:t>
            </w:r>
          </w:p>
        </w:tc>
        <w:tc>
          <w:tcPr>
            <w:tcW w:w="993"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color w:val="000000"/>
                <w:lang w:eastAsia="en-ZA"/>
              </w:rPr>
              <w:t>-1 056</w:t>
            </w:r>
          </w:p>
        </w:tc>
        <w:tc>
          <w:tcPr>
            <w:tcW w:w="2405"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color w:val="000000"/>
                <w:lang w:eastAsia="en-ZA"/>
              </w:rPr>
              <w:t>High Cancellation Rate</w:t>
            </w:r>
          </w:p>
        </w:tc>
      </w:tr>
      <w:tr w:rsidR="00520FA0" w:rsidTr="00520FA0">
        <w:tc>
          <w:tcPr>
            <w:tcW w:w="964" w:type="dxa"/>
            <w:vAlign w:val="center"/>
          </w:tcPr>
          <w:p w:rsidR="00520FA0" w:rsidRDefault="00520FA0" w:rsidP="00520FA0">
            <w:pPr>
              <w:jc w:val="both"/>
              <w:rPr>
                <w:rFonts w:ascii="Arial" w:eastAsia="Times New Roman" w:hAnsi="Arial" w:cs="Arial"/>
                <w:bCs/>
                <w:lang w:bidi="en-US"/>
              </w:rPr>
            </w:pPr>
            <w:r w:rsidRPr="00AD65A5">
              <w:rPr>
                <w:rFonts w:ascii="Arial Narrow" w:eastAsia="Times New Roman" w:hAnsi="Arial Narrow" w:cs="Arial"/>
                <w:b/>
                <w:bCs/>
                <w:color w:val="000000"/>
                <w:lang w:eastAsia="en-ZA" w:bidi="en-US"/>
              </w:rPr>
              <w:t>2020/21</w:t>
            </w:r>
          </w:p>
        </w:tc>
        <w:tc>
          <w:tcPr>
            <w:tcW w:w="1112"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R 61 M</w:t>
            </w:r>
          </w:p>
        </w:tc>
        <w:tc>
          <w:tcPr>
            <w:tcW w:w="1339"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R 18 M</w:t>
            </w:r>
          </w:p>
        </w:tc>
        <w:tc>
          <w:tcPr>
            <w:tcW w:w="1550" w:type="dxa"/>
            <w:vAlign w:val="center"/>
          </w:tcPr>
          <w:p w:rsidR="00520FA0" w:rsidRDefault="00520FA0" w:rsidP="00520FA0">
            <w:pPr>
              <w:jc w:val="center"/>
              <w:rPr>
                <w:rFonts w:ascii="Arial Narrow" w:eastAsia="Times New Roman" w:hAnsi="Arial Narrow" w:cs="Arial"/>
                <w:bCs/>
                <w:color w:val="000000"/>
                <w:lang w:eastAsia="en-ZA" w:bidi="en-US"/>
              </w:rPr>
            </w:pPr>
            <w:r w:rsidRPr="000830C6">
              <w:rPr>
                <w:rFonts w:ascii="Arial Narrow" w:eastAsia="Times New Roman" w:hAnsi="Arial Narrow" w:cs="Arial"/>
                <w:bCs/>
                <w:color w:val="000000"/>
                <w:lang w:eastAsia="en-ZA" w:bidi="en-US"/>
              </w:rPr>
              <w:t>N/A</w:t>
            </w:r>
          </w:p>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color w:val="000000"/>
                <w:lang w:eastAsia="en-ZA"/>
              </w:rPr>
              <w:t>(Due to Covid-19 pandemic)</w:t>
            </w:r>
          </w:p>
        </w:tc>
        <w:tc>
          <w:tcPr>
            <w:tcW w:w="1550"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5 034</w:t>
            </w:r>
          </w:p>
        </w:tc>
        <w:tc>
          <w:tcPr>
            <w:tcW w:w="993"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color w:val="000000"/>
                <w:lang w:eastAsia="en-ZA"/>
              </w:rPr>
              <w:t>5 034</w:t>
            </w:r>
          </w:p>
        </w:tc>
        <w:tc>
          <w:tcPr>
            <w:tcW w:w="2405" w:type="dxa"/>
            <w:vAlign w:val="center"/>
          </w:tcPr>
          <w:p w:rsidR="00520FA0" w:rsidRDefault="00520FA0" w:rsidP="00520FA0">
            <w:pPr>
              <w:jc w:val="both"/>
              <w:rPr>
                <w:rFonts w:ascii="Arial" w:eastAsia="Times New Roman" w:hAnsi="Arial" w:cs="Arial"/>
                <w:bCs/>
                <w:lang w:bidi="en-US"/>
              </w:rPr>
            </w:pPr>
            <w:r>
              <w:rPr>
                <w:rFonts w:ascii="Arial Narrow" w:eastAsia="Times New Roman" w:hAnsi="Arial Narrow" w:cs="Arial"/>
                <w:color w:val="000000"/>
                <w:lang w:eastAsia="en-ZA"/>
              </w:rPr>
              <w:t>No target set due to the C</w:t>
            </w:r>
            <w:r w:rsidRPr="000830C6">
              <w:rPr>
                <w:rFonts w:ascii="Arial Narrow" w:eastAsia="Times New Roman" w:hAnsi="Arial Narrow" w:cs="Arial"/>
                <w:color w:val="000000"/>
                <w:lang w:eastAsia="en-ZA"/>
              </w:rPr>
              <w:t>ovid-19 pandemic</w:t>
            </w:r>
          </w:p>
        </w:tc>
      </w:tr>
      <w:tr w:rsidR="00520FA0" w:rsidTr="00520FA0">
        <w:tc>
          <w:tcPr>
            <w:tcW w:w="964" w:type="dxa"/>
            <w:vAlign w:val="center"/>
          </w:tcPr>
          <w:p w:rsidR="00520FA0" w:rsidRDefault="00520FA0" w:rsidP="00520FA0">
            <w:pPr>
              <w:jc w:val="both"/>
              <w:rPr>
                <w:rFonts w:ascii="Arial" w:eastAsia="Times New Roman" w:hAnsi="Arial" w:cs="Arial"/>
                <w:bCs/>
                <w:lang w:bidi="en-US"/>
              </w:rPr>
            </w:pPr>
            <w:r w:rsidRPr="00AD65A5">
              <w:rPr>
                <w:rFonts w:ascii="Arial Narrow" w:eastAsia="Times New Roman" w:hAnsi="Arial Narrow" w:cs="Arial"/>
                <w:b/>
                <w:bCs/>
                <w:color w:val="000000"/>
                <w:lang w:eastAsia="en-ZA" w:bidi="en-US"/>
              </w:rPr>
              <w:t>2021/22</w:t>
            </w:r>
          </w:p>
        </w:tc>
        <w:tc>
          <w:tcPr>
            <w:tcW w:w="1112"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R64 M</w:t>
            </w:r>
          </w:p>
        </w:tc>
        <w:tc>
          <w:tcPr>
            <w:tcW w:w="1339"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R 15 M</w:t>
            </w:r>
          </w:p>
        </w:tc>
        <w:tc>
          <w:tcPr>
            <w:tcW w:w="1550"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5250</w:t>
            </w:r>
          </w:p>
        </w:tc>
        <w:tc>
          <w:tcPr>
            <w:tcW w:w="1550"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bCs/>
                <w:color w:val="000000"/>
                <w:lang w:eastAsia="en-ZA" w:bidi="en-US"/>
              </w:rPr>
              <w:t>4</w:t>
            </w:r>
            <w:r>
              <w:rPr>
                <w:rFonts w:ascii="Arial Narrow" w:eastAsia="Times New Roman" w:hAnsi="Arial Narrow" w:cs="Arial"/>
                <w:bCs/>
                <w:color w:val="000000"/>
                <w:lang w:eastAsia="en-ZA" w:bidi="en-US"/>
              </w:rPr>
              <w:t> </w:t>
            </w:r>
            <w:r w:rsidRPr="000830C6">
              <w:rPr>
                <w:rFonts w:ascii="Arial Narrow" w:eastAsia="Times New Roman" w:hAnsi="Arial Narrow" w:cs="Arial"/>
                <w:bCs/>
                <w:color w:val="000000"/>
                <w:lang w:eastAsia="en-ZA" w:bidi="en-US"/>
              </w:rPr>
              <w:t>707</w:t>
            </w:r>
          </w:p>
        </w:tc>
        <w:tc>
          <w:tcPr>
            <w:tcW w:w="993"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color w:val="000000"/>
                <w:lang w:eastAsia="en-ZA"/>
              </w:rPr>
              <w:t>-543</w:t>
            </w:r>
          </w:p>
        </w:tc>
        <w:tc>
          <w:tcPr>
            <w:tcW w:w="2405" w:type="dxa"/>
            <w:vAlign w:val="center"/>
          </w:tcPr>
          <w:p w:rsidR="00520FA0" w:rsidRDefault="00520FA0" w:rsidP="00520FA0">
            <w:pPr>
              <w:jc w:val="both"/>
              <w:rPr>
                <w:rFonts w:ascii="Arial" w:eastAsia="Times New Roman" w:hAnsi="Arial" w:cs="Arial"/>
                <w:bCs/>
                <w:lang w:bidi="en-US"/>
              </w:rPr>
            </w:pPr>
            <w:r w:rsidRPr="000830C6">
              <w:rPr>
                <w:rFonts w:ascii="Arial Narrow" w:eastAsia="Times New Roman" w:hAnsi="Arial Narrow" w:cs="Arial"/>
                <w:color w:val="000000"/>
                <w:lang w:eastAsia="en-ZA"/>
              </w:rPr>
              <w:t>Limited establishments open due to Covid-19</w:t>
            </w:r>
          </w:p>
        </w:tc>
      </w:tr>
    </w:tbl>
    <w:p w:rsidR="00520FA0" w:rsidRDefault="00520FA0" w:rsidP="00520FA0">
      <w:pPr>
        <w:pBdr>
          <w:top w:val="nil"/>
          <w:left w:val="nil"/>
          <w:bottom w:val="nil"/>
          <w:right w:val="nil"/>
          <w:between w:val="nil"/>
          <w:bar w:val="nil"/>
        </w:pBdr>
        <w:tabs>
          <w:tab w:val="left" w:pos="567"/>
        </w:tabs>
        <w:spacing w:before="120" w:after="0" w:line="276" w:lineRule="auto"/>
        <w:jc w:val="both"/>
        <w:rPr>
          <w:rFonts w:ascii="Arial" w:eastAsia="Calibri" w:hAnsi="Arial" w:cs="Arial"/>
          <w:lang w:val="en-GB"/>
        </w:rPr>
      </w:pPr>
      <w:r w:rsidRPr="00C90109">
        <w:rPr>
          <w:rFonts w:ascii="Arial" w:eastAsia="Calibri" w:hAnsi="Arial" w:cs="Arial"/>
          <w:lang w:val="en-GB"/>
        </w:rPr>
        <w:t xml:space="preserve">The </w:t>
      </w:r>
      <w:r>
        <w:rPr>
          <w:rFonts w:ascii="Arial" w:eastAsia="Calibri" w:hAnsi="Arial" w:cs="Arial"/>
          <w:lang w:val="en-GB"/>
        </w:rPr>
        <w:t xml:space="preserve">percentage </w:t>
      </w:r>
      <w:r w:rsidRPr="00C90109">
        <w:rPr>
          <w:rFonts w:ascii="Arial" w:eastAsia="Calibri" w:hAnsi="Arial" w:cs="Arial"/>
          <w:lang w:val="en-GB"/>
        </w:rPr>
        <w:t>breakdown of establishments per province is reflected below</w:t>
      </w:r>
      <w:r>
        <w:rPr>
          <w:rFonts w:ascii="Arial" w:eastAsia="Calibri" w:hAnsi="Arial" w:cs="Arial"/>
          <w:lang w:val="en-GB"/>
        </w:rPr>
        <w:t xml:space="preserve"> for 2019-20; 2020-21 and Year-to-date (YTD) 2021-22</w:t>
      </w:r>
      <w:r w:rsidRPr="00C90109">
        <w:rPr>
          <w:rFonts w:ascii="Arial" w:eastAsia="Calibri" w:hAnsi="Arial" w:cs="Arial"/>
          <w:lang w:val="en-GB"/>
        </w:rPr>
        <w:t>:</w:t>
      </w:r>
    </w:p>
    <w:p w:rsidR="009D3CB8" w:rsidRPr="00C90109" w:rsidRDefault="001F5580" w:rsidP="00DB79E6">
      <w:pPr>
        <w:jc w:val="both"/>
        <w:rPr>
          <w:rFonts w:ascii="Arial" w:eastAsia="Times New Roman" w:hAnsi="Arial" w:cs="Arial"/>
          <w:bCs/>
          <w:lang w:bidi="en-US"/>
        </w:rPr>
      </w:pPr>
      <w:r w:rsidRPr="00C90109">
        <w:rPr>
          <w:rFonts w:ascii="Arial" w:eastAsia="Times New Roman" w:hAnsi="Arial" w:cs="Arial"/>
          <w:bCs/>
          <w:lang w:bidi="en-US"/>
        </w:rPr>
        <w:br w:type="page"/>
      </w:r>
    </w:p>
    <w:p w:rsidR="009D3CB8" w:rsidRDefault="009D3CB8" w:rsidP="00DB79E6">
      <w:pPr>
        <w:jc w:val="both"/>
        <w:rPr>
          <w:rFonts w:ascii="Arial" w:hAnsi="Arial" w:cs="Arial"/>
        </w:rPr>
      </w:pPr>
    </w:p>
    <w:p w:rsidR="00F84D8E" w:rsidRDefault="00D36FDA" w:rsidP="00DB79E6">
      <w:pPr>
        <w:pBdr>
          <w:top w:val="nil"/>
          <w:left w:val="nil"/>
          <w:bottom w:val="nil"/>
          <w:right w:val="nil"/>
          <w:between w:val="nil"/>
          <w:bar w:val="nil"/>
        </w:pBdr>
        <w:tabs>
          <w:tab w:val="left" w:pos="567"/>
        </w:tabs>
        <w:spacing w:after="0" w:line="360" w:lineRule="auto"/>
        <w:jc w:val="both"/>
        <w:rPr>
          <w:rFonts w:ascii="Arial" w:eastAsia="Calibri" w:hAnsi="Arial" w:cs="Arial"/>
          <w:lang w:val="en-GB"/>
        </w:rPr>
      </w:pPr>
      <w:r>
        <w:rPr>
          <w:rFonts w:ascii="Arial" w:eastAsia="Times New Roman" w:hAnsi="Arial" w:cs="Arial"/>
          <w:bCs/>
          <w:lang w:bidi="en-US"/>
        </w:rPr>
        <w:t>(a) (</w:t>
      </w:r>
      <w:proofErr w:type="spellStart"/>
      <w:proofErr w:type="gramStart"/>
      <w:r>
        <w:rPr>
          <w:rFonts w:ascii="Arial" w:eastAsia="Times New Roman" w:hAnsi="Arial" w:cs="Arial"/>
          <w:bCs/>
          <w:lang w:bidi="en-US"/>
        </w:rPr>
        <w:t>i</w:t>
      </w:r>
      <w:proofErr w:type="spellEnd"/>
      <w:proofErr w:type="gramEnd"/>
      <w:r>
        <w:rPr>
          <w:rFonts w:ascii="Arial" w:eastAsia="Times New Roman" w:hAnsi="Arial" w:cs="Arial"/>
          <w:bCs/>
          <w:lang w:bidi="en-US"/>
        </w:rPr>
        <w:t>) and (ii)</w:t>
      </w:r>
      <w:r w:rsidR="00520FA0">
        <w:rPr>
          <w:rFonts w:ascii="Arial" w:eastAsia="Times New Roman" w:hAnsi="Arial" w:cs="Arial"/>
          <w:bCs/>
          <w:lang w:bidi="en-US"/>
        </w:rPr>
        <w:t xml:space="preserve"> </w:t>
      </w:r>
      <w:r w:rsidR="00933AA3" w:rsidRPr="00C90109">
        <w:rPr>
          <w:rFonts w:ascii="Arial" w:eastAsia="Calibri" w:hAnsi="Arial" w:cs="Arial"/>
          <w:lang w:val="en-GB"/>
        </w:rPr>
        <w:t xml:space="preserve">The </w:t>
      </w:r>
      <w:r w:rsidR="00C303B1">
        <w:rPr>
          <w:rFonts w:ascii="Arial" w:eastAsia="Calibri" w:hAnsi="Arial" w:cs="Arial"/>
          <w:lang w:val="en-GB"/>
        </w:rPr>
        <w:t xml:space="preserve">percentage </w:t>
      </w:r>
      <w:r w:rsidR="000A5181" w:rsidRPr="00C90109">
        <w:rPr>
          <w:rFonts w:ascii="Arial" w:eastAsia="Calibri" w:hAnsi="Arial" w:cs="Arial"/>
          <w:lang w:val="en-GB"/>
        </w:rPr>
        <w:t>breakdown of establishments per province is reflected below</w:t>
      </w:r>
      <w:r w:rsidR="00C303B1">
        <w:rPr>
          <w:rFonts w:ascii="Arial" w:eastAsia="Calibri" w:hAnsi="Arial" w:cs="Arial"/>
          <w:lang w:val="en-GB"/>
        </w:rPr>
        <w:t xml:space="preserve"> for 2019</w:t>
      </w:r>
      <w:r w:rsidR="00D16639">
        <w:rPr>
          <w:rFonts w:ascii="Arial" w:eastAsia="Calibri" w:hAnsi="Arial" w:cs="Arial"/>
          <w:lang w:val="en-GB"/>
        </w:rPr>
        <w:t>-20; 2020-21 and Year-to-date</w:t>
      </w:r>
      <w:r w:rsidR="00F42329">
        <w:rPr>
          <w:rFonts w:ascii="Arial" w:eastAsia="Calibri" w:hAnsi="Arial" w:cs="Arial"/>
          <w:lang w:val="en-GB"/>
        </w:rPr>
        <w:t xml:space="preserve"> (YTD)</w:t>
      </w:r>
      <w:r w:rsidR="00D16639">
        <w:rPr>
          <w:rFonts w:ascii="Arial" w:eastAsia="Calibri" w:hAnsi="Arial" w:cs="Arial"/>
          <w:lang w:val="en-GB"/>
        </w:rPr>
        <w:t xml:space="preserve"> 2021-22</w:t>
      </w:r>
      <w:r w:rsidR="000A5181" w:rsidRPr="00C90109">
        <w:rPr>
          <w:rFonts w:ascii="Arial" w:eastAsia="Calibri" w:hAnsi="Arial" w:cs="Arial"/>
          <w:lang w:val="en-GB"/>
        </w:rPr>
        <w:t>:</w:t>
      </w:r>
    </w:p>
    <w:tbl>
      <w:tblPr>
        <w:tblW w:w="6511" w:type="dxa"/>
        <w:tblLook w:val="04A0"/>
      </w:tblPr>
      <w:tblGrid>
        <w:gridCol w:w="2060"/>
        <w:gridCol w:w="1540"/>
        <w:gridCol w:w="1420"/>
        <w:gridCol w:w="1491"/>
      </w:tblGrid>
      <w:tr w:rsidR="003676BF" w:rsidRPr="003676BF" w:rsidTr="00D16639">
        <w:trPr>
          <w:trHeight w:val="300"/>
        </w:trPr>
        <w:tc>
          <w:tcPr>
            <w:tcW w:w="2060" w:type="dxa"/>
            <w:tcBorders>
              <w:top w:val="single" w:sz="8" w:space="0" w:color="auto"/>
              <w:left w:val="single" w:sz="8" w:space="0" w:color="auto"/>
              <w:bottom w:val="nil"/>
              <w:right w:val="single" w:sz="4" w:space="0" w:color="auto"/>
            </w:tcBorders>
            <w:shd w:val="clear" w:color="auto" w:fill="D9D9D9" w:themeFill="background1" w:themeFillShade="D9"/>
            <w:noWrap/>
            <w:vAlign w:val="bottom"/>
            <w:hideMark/>
          </w:tcPr>
          <w:p w:rsidR="003676BF" w:rsidRPr="003676BF" w:rsidRDefault="003676BF" w:rsidP="003676BF">
            <w:pPr>
              <w:spacing w:after="0" w:line="240" w:lineRule="auto"/>
              <w:rPr>
                <w:rFonts w:ascii="Calibri" w:eastAsia="Times New Roman" w:hAnsi="Calibri" w:cs="Calibri"/>
                <w:b/>
                <w:bCs/>
                <w:color w:val="000000"/>
                <w:lang w:eastAsia="en-ZA"/>
              </w:rPr>
            </w:pPr>
            <w:r w:rsidRPr="003676BF">
              <w:rPr>
                <w:rFonts w:ascii="Calibri" w:eastAsia="Times New Roman" w:hAnsi="Calibri" w:cs="Calibri"/>
                <w:b/>
                <w:bCs/>
                <w:color w:val="000000"/>
                <w:lang w:eastAsia="en-ZA"/>
              </w:rPr>
              <w:t>Province</w:t>
            </w:r>
          </w:p>
        </w:tc>
        <w:tc>
          <w:tcPr>
            <w:tcW w:w="1540" w:type="dxa"/>
            <w:tcBorders>
              <w:top w:val="single" w:sz="8" w:space="0" w:color="auto"/>
              <w:left w:val="single" w:sz="8" w:space="0" w:color="auto"/>
              <w:bottom w:val="nil"/>
              <w:right w:val="single" w:sz="4" w:space="0" w:color="auto"/>
            </w:tcBorders>
            <w:shd w:val="clear" w:color="auto" w:fill="D9D9D9" w:themeFill="background1" w:themeFillShade="D9"/>
            <w:noWrap/>
            <w:vAlign w:val="bottom"/>
            <w:hideMark/>
          </w:tcPr>
          <w:p w:rsidR="003676BF" w:rsidRPr="003676BF" w:rsidRDefault="003676BF" w:rsidP="003676BF">
            <w:pPr>
              <w:spacing w:after="0" w:line="240" w:lineRule="auto"/>
              <w:rPr>
                <w:rFonts w:ascii="Calibri" w:eastAsia="Times New Roman" w:hAnsi="Calibri" w:cs="Calibri"/>
                <w:b/>
                <w:bCs/>
                <w:color w:val="000000"/>
                <w:lang w:eastAsia="en-ZA"/>
              </w:rPr>
            </w:pPr>
            <w:r w:rsidRPr="003676BF">
              <w:rPr>
                <w:rFonts w:ascii="Calibri" w:eastAsia="Times New Roman" w:hAnsi="Calibri" w:cs="Calibri"/>
                <w:b/>
                <w:bCs/>
                <w:color w:val="000000"/>
                <w:lang w:eastAsia="en-ZA"/>
              </w:rPr>
              <w:t>2019-20</w:t>
            </w:r>
          </w:p>
        </w:tc>
        <w:tc>
          <w:tcPr>
            <w:tcW w:w="1420" w:type="dxa"/>
            <w:tcBorders>
              <w:top w:val="single" w:sz="8" w:space="0" w:color="auto"/>
              <w:left w:val="nil"/>
              <w:bottom w:val="nil"/>
              <w:right w:val="single" w:sz="4" w:space="0" w:color="auto"/>
            </w:tcBorders>
            <w:shd w:val="clear" w:color="auto" w:fill="D9D9D9" w:themeFill="background1" w:themeFillShade="D9"/>
            <w:noWrap/>
            <w:vAlign w:val="bottom"/>
            <w:hideMark/>
          </w:tcPr>
          <w:p w:rsidR="003676BF" w:rsidRPr="003676BF" w:rsidRDefault="003676BF" w:rsidP="003676BF">
            <w:pPr>
              <w:spacing w:after="0" w:line="240" w:lineRule="auto"/>
              <w:rPr>
                <w:rFonts w:ascii="Calibri" w:eastAsia="Times New Roman" w:hAnsi="Calibri" w:cs="Calibri"/>
                <w:b/>
                <w:bCs/>
                <w:color w:val="000000"/>
                <w:lang w:eastAsia="en-ZA"/>
              </w:rPr>
            </w:pPr>
            <w:r w:rsidRPr="003676BF">
              <w:rPr>
                <w:rFonts w:ascii="Calibri" w:eastAsia="Times New Roman" w:hAnsi="Calibri" w:cs="Calibri"/>
                <w:b/>
                <w:bCs/>
                <w:color w:val="000000"/>
                <w:lang w:eastAsia="en-ZA"/>
              </w:rPr>
              <w:t>2020-21</w:t>
            </w:r>
          </w:p>
        </w:tc>
        <w:tc>
          <w:tcPr>
            <w:tcW w:w="1491" w:type="dxa"/>
            <w:tcBorders>
              <w:top w:val="single" w:sz="8" w:space="0" w:color="auto"/>
              <w:left w:val="single" w:sz="4" w:space="0" w:color="auto"/>
              <w:bottom w:val="nil"/>
              <w:right w:val="single" w:sz="8" w:space="0" w:color="auto"/>
            </w:tcBorders>
            <w:shd w:val="clear" w:color="auto" w:fill="D9D9D9" w:themeFill="background1" w:themeFillShade="D9"/>
            <w:noWrap/>
            <w:vAlign w:val="bottom"/>
            <w:hideMark/>
          </w:tcPr>
          <w:p w:rsidR="003676BF" w:rsidRPr="003676BF" w:rsidRDefault="00F42329" w:rsidP="003676B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YTD </w:t>
            </w:r>
            <w:r w:rsidR="003676BF" w:rsidRPr="003676BF">
              <w:rPr>
                <w:rFonts w:ascii="Calibri" w:eastAsia="Times New Roman" w:hAnsi="Calibri" w:cs="Calibri"/>
                <w:b/>
                <w:bCs/>
                <w:color w:val="000000"/>
                <w:lang w:eastAsia="en-ZA"/>
              </w:rPr>
              <w:t>2021-22</w:t>
            </w:r>
          </w:p>
        </w:tc>
      </w:tr>
      <w:tr w:rsidR="003676BF" w:rsidRPr="003676BF" w:rsidTr="00D1663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Eastern Cape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12%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13%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13%</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Free State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3%</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3%</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3%</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Gauteng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22%</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21%</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23%</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proofErr w:type="spellStart"/>
            <w:r w:rsidRPr="003676BF">
              <w:rPr>
                <w:rFonts w:ascii="Calibri" w:eastAsia="Times New Roman" w:hAnsi="Calibri" w:cs="Calibri"/>
                <w:color w:val="000000"/>
                <w:lang w:eastAsia="en-ZA"/>
              </w:rPr>
              <w:t>KwaZulu</w:t>
            </w:r>
            <w:proofErr w:type="spellEnd"/>
            <w:r w:rsidRPr="003676BF">
              <w:rPr>
                <w:rFonts w:ascii="Calibri" w:eastAsia="Times New Roman" w:hAnsi="Calibri" w:cs="Calibri"/>
                <w:color w:val="000000"/>
                <w:lang w:eastAsia="en-ZA"/>
              </w:rPr>
              <w:t xml:space="preserve"> Natal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13%</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13%</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13%</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Limpopo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7%</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7%</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7%</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Mpumalanga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7%</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8%</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7%</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North West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5%</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5%</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5%</w:t>
            </w:r>
          </w:p>
        </w:tc>
      </w:tr>
      <w:tr w:rsidR="003676BF" w:rsidRPr="003676BF" w:rsidTr="00D1663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Northern Cape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3%</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3%</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3%</w:t>
            </w:r>
          </w:p>
        </w:tc>
      </w:tr>
      <w:tr w:rsidR="003676BF" w:rsidRPr="003676BF" w:rsidTr="00D16639">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rPr>
                <w:rFonts w:ascii="Calibri" w:eastAsia="Times New Roman" w:hAnsi="Calibri" w:cs="Calibri"/>
                <w:color w:val="000000"/>
                <w:lang w:eastAsia="en-ZA"/>
              </w:rPr>
            </w:pPr>
            <w:r w:rsidRPr="003676BF">
              <w:rPr>
                <w:rFonts w:ascii="Calibri" w:eastAsia="Times New Roman" w:hAnsi="Calibri" w:cs="Calibri"/>
                <w:color w:val="000000"/>
                <w:lang w:eastAsia="en-ZA"/>
              </w:rPr>
              <w:t xml:space="preserve">Western Cape </w:t>
            </w:r>
          </w:p>
        </w:tc>
        <w:tc>
          <w:tcPr>
            <w:tcW w:w="154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29%</w:t>
            </w:r>
          </w:p>
        </w:tc>
        <w:tc>
          <w:tcPr>
            <w:tcW w:w="1420" w:type="dxa"/>
            <w:tcBorders>
              <w:top w:val="nil"/>
              <w:left w:val="nil"/>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27%</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3676BF" w:rsidRPr="003676BF" w:rsidRDefault="003676BF" w:rsidP="003676BF">
            <w:pPr>
              <w:spacing w:after="0" w:line="240" w:lineRule="auto"/>
              <w:jc w:val="right"/>
              <w:rPr>
                <w:rFonts w:ascii="Calibri" w:eastAsia="Times New Roman" w:hAnsi="Calibri" w:cs="Calibri"/>
                <w:color w:val="000000"/>
                <w:lang w:eastAsia="en-ZA"/>
              </w:rPr>
            </w:pPr>
            <w:r w:rsidRPr="003676BF">
              <w:rPr>
                <w:rFonts w:ascii="Calibri" w:eastAsia="Times New Roman" w:hAnsi="Calibri" w:cs="Calibri"/>
                <w:color w:val="000000"/>
                <w:lang w:eastAsia="en-ZA"/>
              </w:rPr>
              <w:t>26%</w:t>
            </w:r>
          </w:p>
        </w:tc>
      </w:tr>
    </w:tbl>
    <w:p w:rsidR="000A5181" w:rsidRPr="00AD65A5" w:rsidRDefault="000A5181" w:rsidP="00DB79E6">
      <w:pPr>
        <w:pBdr>
          <w:top w:val="nil"/>
          <w:left w:val="nil"/>
          <w:bottom w:val="nil"/>
          <w:right w:val="nil"/>
          <w:between w:val="nil"/>
          <w:bar w:val="nil"/>
        </w:pBdr>
        <w:tabs>
          <w:tab w:val="left" w:pos="567"/>
        </w:tabs>
        <w:spacing w:after="0" w:line="360" w:lineRule="auto"/>
        <w:jc w:val="both"/>
        <w:rPr>
          <w:rFonts w:ascii="Arial Narrow" w:eastAsia="Calibri" w:hAnsi="Arial Narrow" w:cs="Arial"/>
          <w:lang w:val="en-GB"/>
        </w:rPr>
      </w:pPr>
    </w:p>
    <w:p w:rsidR="00D61EA9" w:rsidRPr="00D61EA9" w:rsidRDefault="00D36FDA" w:rsidP="00D61EA9">
      <w:pPr>
        <w:pBdr>
          <w:top w:val="nil"/>
          <w:left w:val="nil"/>
          <w:bottom w:val="nil"/>
          <w:right w:val="nil"/>
          <w:between w:val="nil"/>
          <w:bar w:val="nil"/>
        </w:pBdr>
        <w:tabs>
          <w:tab w:val="left" w:pos="567"/>
        </w:tabs>
        <w:spacing w:after="0" w:line="360" w:lineRule="auto"/>
        <w:jc w:val="both"/>
        <w:rPr>
          <w:rFonts w:ascii="Arial" w:eastAsia="Calibri" w:hAnsi="Arial" w:cs="Arial"/>
          <w:b/>
        </w:rPr>
      </w:pPr>
      <w:r>
        <w:rPr>
          <w:rFonts w:ascii="Arial" w:eastAsia="Calibri" w:hAnsi="Arial" w:cs="Arial"/>
          <w:b/>
        </w:rPr>
        <w:t>(2)</w:t>
      </w:r>
      <w:r w:rsidR="00D61EA9" w:rsidRPr="00D61EA9">
        <w:rPr>
          <w:rFonts w:ascii="Arial" w:eastAsia="Calibri" w:hAnsi="Arial" w:cs="Arial"/>
          <w:b/>
        </w:rPr>
        <w:t xml:space="preserve"> (a)</w:t>
      </w:r>
      <w:r>
        <w:rPr>
          <w:rFonts w:ascii="Arial" w:eastAsia="Calibri" w:hAnsi="Arial" w:cs="Arial"/>
          <w:b/>
        </w:rPr>
        <w:t xml:space="preserve"> and (b) </w:t>
      </w:r>
      <w:r w:rsidR="00D61EA9" w:rsidRPr="00D61EA9">
        <w:rPr>
          <w:rFonts w:ascii="Arial" w:eastAsia="Calibri" w:hAnsi="Arial" w:cs="Arial"/>
          <w:b/>
        </w:rPr>
        <w:t xml:space="preserve"> </w:t>
      </w:r>
    </w:p>
    <w:p w:rsidR="003614FA" w:rsidRPr="00D61EA9" w:rsidRDefault="00E1409D" w:rsidP="00DB79E6">
      <w:pPr>
        <w:pBdr>
          <w:top w:val="nil"/>
          <w:left w:val="nil"/>
          <w:bottom w:val="nil"/>
          <w:right w:val="nil"/>
          <w:between w:val="nil"/>
          <w:bar w:val="nil"/>
        </w:pBdr>
        <w:tabs>
          <w:tab w:val="left" w:pos="567"/>
        </w:tabs>
        <w:spacing w:after="0" w:line="360" w:lineRule="auto"/>
        <w:jc w:val="both"/>
        <w:rPr>
          <w:rFonts w:ascii="Arial" w:eastAsia="Calibri" w:hAnsi="Arial" w:cs="Arial"/>
          <w:lang w:val="en-GB"/>
        </w:rPr>
      </w:pPr>
      <w:r w:rsidRPr="00D61EA9">
        <w:rPr>
          <w:rFonts w:ascii="Arial" w:hAnsi="Arial" w:cs="Arial"/>
        </w:rPr>
        <w:t>2020 – 2021 have been impacted by the Covid-19 pandemic as many establishments suspended trading or closed permanently. Fiscal 2022/23 has seen a return to business and many establishments re-joining TGCSA star grading system. Quality Assurance is key to the tourism sectors success, therefore TGCSA is currently reviewing the post-pandemic consumer requirements and key tourism sector changes to assess the impact of sector change on the TGCSA grading criteria.  Many interventions such as workshops, training and the implementation of the Tourism Grading Supporting Program</w:t>
      </w:r>
      <w:r w:rsidR="00906689" w:rsidRPr="00D61EA9">
        <w:rPr>
          <w:rFonts w:ascii="Arial" w:hAnsi="Arial" w:cs="Arial"/>
        </w:rPr>
        <w:t xml:space="preserve"> are in progress.</w:t>
      </w:r>
      <w:r w:rsidR="00A2410C" w:rsidRPr="00D61EA9">
        <w:rPr>
          <w:rFonts w:ascii="Arial" w:hAnsi="Arial" w:cs="Arial"/>
        </w:rPr>
        <w:t xml:space="preserve">  Fiscal 2022/23 is on track for the achievement of its current targets</w:t>
      </w:r>
      <w:r w:rsidR="004C24CF" w:rsidRPr="00D61EA9">
        <w:rPr>
          <w:rFonts w:ascii="Arial" w:hAnsi="Arial" w:cs="Arial"/>
        </w:rPr>
        <w:t xml:space="preserve"> of 5 355 Graded establishments for the fiscal.</w:t>
      </w:r>
    </w:p>
    <w:sectPr w:rsidR="003614FA" w:rsidRPr="00D61EA9" w:rsidSect="001F5580">
      <w:footerReference w:type="default" r:id="rId8"/>
      <w:headerReference w:type="first" r:id="rId9"/>
      <w:footerReference w:type="first" r:id="rId10"/>
      <w:pgSz w:w="11900" w:h="16840"/>
      <w:pgMar w:top="1134" w:right="843"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77" w:rsidRDefault="00090F77">
      <w:pPr>
        <w:spacing w:after="0" w:line="240" w:lineRule="auto"/>
      </w:pPr>
      <w:r>
        <w:separator/>
      </w:r>
    </w:p>
  </w:endnote>
  <w:endnote w:type="continuationSeparator" w:id="0">
    <w:p w:rsidR="00090F77" w:rsidRDefault="00090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7435B">
          <w:rPr>
            <w:rFonts w:ascii="Arial Narrow" w:hAnsi="Arial Narrow"/>
            <w:sz w:val="18"/>
            <w:szCs w:val="18"/>
          </w:rPr>
          <w:t>3544</w:t>
        </w:r>
        <w:r w:rsidRPr="00504917">
          <w:rPr>
            <w:rFonts w:ascii="Arial Narrow" w:hAnsi="Arial Narrow"/>
            <w:sz w:val="18"/>
            <w:szCs w:val="18"/>
          </w:rPr>
          <w:t xml:space="preserve"> (NW</w:t>
        </w:r>
        <w:r w:rsidR="0047435B">
          <w:rPr>
            <w:rFonts w:ascii="Arial Narrow" w:hAnsi="Arial Narrow"/>
            <w:sz w:val="18"/>
            <w:szCs w:val="18"/>
          </w:rPr>
          <w:t>411</w:t>
        </w:r>
        <w:r w:rsidR="00A64BCA">
          <w:rPr>
            <w:rFonts w:ascii="Arial Narrow" w:hAnsi="Arial Narrow"/>
            <w:sz w:val="18"/>
            <w:szCs w:val="18"/>
          </w:rPr>
          <w:t>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0B0F9A" w:rsidRPr="00013AC6">
          <w:rPr>
            <w:rFonts w:ascii="Arial Narrow" w:hAnsi="Arial Narrow"/>
          </w:rPr>
          <w:fldChar w:fldCharType="begin"/>
        </w:r>
        <w:r w:rsidRPr="00013AC6">
          <w:rPr>
            <w:rFonts w:ascii="Arial Narrow" w:hAnsi="Arial Narrow"/>
          </w:rPr>
          <w:instrText xml:space="preserve"> PAGE   \* MERGEFORMAT </w:instrText>
        </w:r>
        <w:r w:rsidR="000B0F9A" w:rsidRPr="00013AC6">
          <w:rPr>
            <w:rFonts w:ascii="Arial Narrow" w:hAnsi="Arial Narrow"/>
          </w:rPr>
          <w:fldChar w:fldCharType="separate"/>
        </w:r>
        <w:r w:rsidR="0091055A">
          <w:rPr>
            <w:rFonts w:ascii="Arial Narrow" w:hAnsi="Arial Narrow"/>
            <w:noProof/>
          </w:rPr>
          <w:t>2</w:t>
        </w:r>
        <w:r w:rsidR="000B0F9A"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090F7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090F77">
    <w:pPr>
      <w:pStyle w:val="Footer1"/>
      <w:jc w:val="right"/>
    </w:pPr>
  </w:p>
  <w:p w:rsidR="001656DE" w:rsidRPr="006016C0" w:rsidRDefault="0047435B" w:rsidP="006016C0">
    <w:pPr>
      <w:pStyle w:val="HeaderFooter"/>
      <w:jc w:val="center"/>
      <w:rPr>
        <w:rFonts w:ascii="Arial Narrow" w:hAnsi="Arial Narrow"/>
        <w:sz w:val="18"/>
        <w:szCs w:val="18"/>
      </w:rPr>
    </w:pPr>
    <w:r>
      <w:rPr>
        <w:rFonts w:ascii="Arial Narrow" w:hAnsi="Arial Narrow"/>
        <w:sz w:val="18"/>
        <w:szCs w:val="18"/>
      </w:rPr>
      <w:t>3544 (NW411</w:t>
    </w:r>
    <w:r w:rsidR="00A64BCA">
      <w:rPr>
        <w:rFonts w:ascii="Arial Narrow" w:hAnsi="Arial Narrow"/>
        <w:sz w:val="18"/>
        <w:szCs w:val="18"/>
      </w:rPr>
      <w:t>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77" w:rsidRDefault="00090F77">
      <w:pPr>
        <w:spacing w:after="0" w:line="240" w:lineRule="auto"/>
      </w:pPr>
      <w:r>
        <w:separator/>
      </w:r>
    </w:p>
  </w:footnote>
  <w:footnote w:type="continuationSeparator" w:id="0">
    <w:p w:rsidR="00090F77" w:rsidRDefault="00090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D50"/>
    <w:multiLevelType w:val="hybridMultilevel"/>
    <w:tmpl w:val="EBFE3228"/>
    <w:lvl w:ilvl="0" w:tplc="8112F0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DB749D"/>
    <w:multiLevelType w:val="hybridMultilevel"/>
    <w:tmpl w:val="1B34FA3A"/>
    <w:lvl w:ilvl="0" w:tplc="1BF038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BD3663"/>
    <w:multiLevelType w:val="hybridMultilevel"/>
    <w:tmpl w:val="82DA48D0"/>
    <w:lvl w:ilvl="0" w:tplc="82B4BA32">
      <w:start w:val="1"/>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DA26FE"/>
    <w:multiLevelType w:val="hybridMultilevel"/>
    <w:tmpl w:val="253CEBEE"/>
    <w:lvl w:ilvl="0" w:tplc="2E96823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6A216D"/>
    <w:multiLevelType w:val="hybridMultilevel"/>
    <w:tmpl w:val="3926D036"/>
    <w:lvl w:ilvl="0" w:tplc="3DF0A270">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AAC7C3F"/>
    <w:multiLevelType w:val="hybridMultilevel"/>
    <w:tmpl w:val="A36601EC"/>
    <w:lvl w:ilvl="0" w:tplc="20EA27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DF62339"/>
    <w:multiLevelType w:val="hybridMultilevel"/>
    <w:tmpl w:val="95208312"/>
    <w:lvl w:ilvl="0" w:tplc="214EF3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4">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D537C52"/>
    <w:multiLevelType w:val="hybridMultilevel"/>
    <w:tmpl w:val="C6786092"/>
    <w:lvl w:ilvl="0" w:tplc="FE04A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77756C"/>
    <w:multiLevelType w:val="hybridMultilevel"/>
    <w:tmpl w:val="FAD8C4BA"/>
    <w:lvl w:ilvl="0" w:tplc="4150E48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7"/>
  </w:num>
  <w:num w:numId="3">
    <w:abstractNumId w:val="29"/>
  </w:num>
  <w:num w:numId="4">
    <w:abstractNumId w:val="18"/>
  </w:num>
  <w:num w:numId="5">
    <w:abstractNumId w:val="21"/>
  </w:num>
  <w:num w:numId="6">
    <w:abstractNumId w:val="12"/>
  </w:num>
  <w:num w:numId="7">
    <w:abstractNumId w:val="23"/>
  </w:num>
  <w:num w:numId="8">
    <w:abstractNumId w:val="13"/>
  </w:num>
  <w:num w:numId="9">
    <w:abstractNumId w:val="19"/>
  </w:num>
  <w:num w:numId="10">
    <w:abstractNumId w:val="28"/>
  </w:num>
  <w:num w:numId="11">
    <w:abstractNumId w:val="5"/>
  </w:num>
  <w:num w:numId="12">
    <w:abstractNumId w:val="30"/>
  </w:num>
  <w:num w:numId="13">
    <w:abstractNumId w:val="8"/>
  </w:num>
  <w:num w:numId="14">
    <w:abstractNumId w:val="1"/>
  </w:num>
  <w:num w:numId="15">
    <w:abstractNumId w:val="20"/>
  </w:num>
  <w:num w:numId="16">
    <w:abstractNumId w:val="4"/>
  </w:num>
  <w:num w:numId="17">
    <w:abstractNumId w:val="15"/>
  </w:num>
  <w:num w:numId="18">
    <w:abstractNumId w:val="3"/>
  </w:num>
  <w:num w:numId="19">
    <w:abstractNumId w:val="6"/>
  </w:num>
  <w:num w:numId="20">
    <w:abstractNumId w:val="9"/>
  </w:num>
  <w:num w:numId="21">
    <w:abstractNumId w:val="26"/>
  </w:num>
  <w:num w:numId="22">
    <w:abstractNumId w:val="24"/>
  </w:num>
  <w:num w:numId="23">
    <w:abstractNumId w:val="22"/>
  </w:num>
  <w:num w:numId="24">
    <w:abstractNumId w:val="32"/>
  </w:num>
  <w:num w:numId="25">
    <w:abstractNumId w:val="10"/>
  </w:num>
  <w:num w:numId="26">
    <w:abstractNumId w:val="14"/>
  </w:num>
  <w:num w:numId="27">
    <w:abstractNumId w:val="17"/>
  </w:num>
  <w:num w:numId="28">
    <w:abstractNumId w:val="2"/>
  </w:num>
  <w:num w:numId="29">
    <w:abstractNumId w:val="25"/>
  </w:num>
  <w:num w:numId="30">
    <w:abstractNumId w:val="0"/>
  </w:num>
  <w:num w:numId="31">
    <w:abstractNumId w:val="16"/>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247ED"/>
    <w:rsid w:val="00030F3E"/>
    <w:rsid w:val="00047D27"/>
    <w:rsid w:val="00076CE0"/>
    <w:rsid w:val="00081DD7"/>
    <w:rsid w:val="000830C6"/>
    <w:rsid w:val="000857D8"/>
    <w:rsid w:val="00090F77"/>
    <w:rsid w:val="000A4573"/>
    <w:rsid w:val="000A5181"/>
    <w:rsid w:val="000B0F9A"/>
    <w:rsid w:val="000D4A6F"/>
    <w:rsid w:val="000E3E94"/>
    <w:rsid w:val="000F1151"/>
    <w:rsid w:val="000F4913"/>
    <w:rsid w:val="000F765B"/>
    <w:rsid w:val="001059FF"/>
    <w:rsid w:val="00106DE7"/>
    <w:rsid w:val="001105F6"/>
    <w:rsid w:val="001369B7"/>
    <w:rsid w:val="00141A6F"/>
    <w:rsid w:val="001453B6"/>
    <w:rsid w:val="001516B7"/>
    <w:rsid w:val="00151D19"/>
    <w:rsid w:val="00193F9C"/>
    <w:rsid w:val="00195286"/>
    <w:rsid w:val="001B2BE2"/>
    <w:rsid w:val="001C7E21"/>
    <w:rsid w:val="001F5580"/>
    <w:rsid w:val="002209AF"/>
    <w:rsid w:val="002245E3"/>
    <w:rsid w:val="00242F98"/>
    <w:rsid w:val="00251600"/>
    <w:rsid w:val="00273C87"/>
    <w:rsid w:val="002A490E"/>
    <w:rsid w:val="002B1D98"/>
    <w:rsid w:val="002C44CA"/>
    <w:rsid w:val="002C461C"/>
    <w:rsid w:val="002D14EB"/>
    <w:rsid w:val="002D3423"/>
    <w:rsid w:val="002E22E3"/>
    <w:rsid w:val="002E7D7C"/>
    <w:rsid w:val="003032AF"/>
    <w:rsid w:val="00342D49"/>
    <w:rsid w:val="0035411E"/>
    <w:rsid w:val="003614FA"/>
    <w:rsid w:val="003676BF"/>
    <w:rsid w:val="003A4BA5"/>
    <w:rsid w:val="003B3F96"/>
    <w:rsid w:val="003D1599"/>
    <w:rsid w:val="003D4147"/>
    <w:rsid w:val="003D7F28"/>
    <w:rsid w:val="003F3E1D"/>
    <w:rsid w:val="0041264B"/>
    <w:rsid w:val="00447EC9"/>
    <w:rsid w:val="0047435B"/>
    <w:rsid w:val="00490A93"/>
    <w:rsid w:val="004A5358"/>
    <w:rsid w:val="004C24CF"/>
    <w:rsid w:val="004C4166"/>
    <w:rsid w:val="004D114E"/>
    <w:rsid w:val="004F0FD9"/>
    <w:rsid w:val="004F2C4A"/>
    <w:rsid w:val="004F54C9"/>
    <w:rsid w:val="00502B47"/>
    <w:rsid w:val="00506321"/>
    <w:rsid w:val="00520FA0"/>
    <w:rsid w:val="00522B4A"/>
    <w:rsid w:val="005401F6"/>
    <w:rsid w:val="005436D1"/>
    <w:rsid w:val="005561D8"/>
    <w:rsid w:val="005A3586"/>
    <w:rsid w:val="005C40C5"/>
    <w:rsid w:val="005E1A1A"/>
    <w:rsid w:val="005F1119"/>
    <w:rsid w:val="006010A3"/>
    <w:rsid w:val="00615126"/>
    <w:rsid w:val="0061799C"/>
    <w:rsid w:val="006335F8"/>
    <w:rsid w:val="00665047"/>
    <w:rsid w:val="00666C86"/>
    <w:rsid w:val="006A0241"/>
    <w:rsid w:val="006A6231"/>
    <w:rsid w:val="006B20E2"/>
    <w:rsid w:val="006F5EC4"/>
    <w:rsid w:val="007345DF"/>
    <w:rsid w:val="00736B41"/>
    <w:rsid w:val="00765093"/>
    <w:rsid w:val="00777955"/>
    <w:rsid w:val="007A257C"/>
    <w:rsid w:val="00807DBA"/>
    <w:rsid w:val="00810D60"/>
    <w:rsid w:val="008137D4"/>
    <w:rsid w:val="00857718"/>
    <w:rsid w:val="00861CEC"/>
    <w:rsid w:val="008A1044"/>
    <w:rsid w:val="008B6E0C"/>
    <w:rsid w:val="008C442B"/>
    <w:rsid w:val="008D3E28"/>
    <w:rsid w:val="00906689"/>
    <w:rsid w:val="0091055A"/>
    <w:rsid w:val="00933AA3"/>
    <w:rsid w:val="0093463C"/>
    <w:rsid w:val="009379C0"/>
    <w:rsid w:val="009413A3"/>
    <w:rsid w:val="00950663"/>
    <w:rsid w:val="00964BF3"/>
    <w:rsid w:val="00974E25"/>
    <w:rsid w:val="00977B49"/>
    <w:rsid w:val="009849DC"/>
    <w:rsid w:val="009863F2"/>
    <w:rsid w:val="009945BD"/>
    <w:rsid w:val="009D3CB8"/>
    <w:rsid w:val="009D4A25"/>
    <w:rsid w:val="00A05843"/>
    <w:rsid w:val="00A2410C"/>
    <w:rsid w:val="00A3139B"/>
    <w:rsid w:val="00A6421B"/>
    <w:rsid w:val="00A64BCA"/>
    <w:rsid w:val="00A829DE"/>
    <w:rsid w:val="00A96F2D"/>
    <w:rsid w:val="00A97B6A"/>
    <w:rsid w:val="00AA5F57"/>
    <w:rsid w:val="00AD65A5"/>
    <w:rsid w:val="00B025B0"/>
    <w:rsid w:val="00B24E20"/>
    <w:rsid w:val="00B65B66"/>
    <w:rsid w:val="00B75ED5"/>
    <w:rsid w:val="00B81C09"/>
    <w:rsid w:val="00B82334"/>
    <w:rsid w:val="00B95FD2"/>
    <w:rsid w:val="00BA5FF7"/>
    <w:rsid w:val="00BA7422"/>
    <w:rsid w:val="00C03FFF"/>
    <w:rsid w:val="00C10F2C"/>
    <w:rsid w:val="00C303B1"/>
    <w:rsid w:val="00C4519C"/>
    <w:rsid w:val="00C50A09"/>
    <w:rsid w:val="00C51F2B"/>
    <w:rsid w:val="00C809F5"/>
    <w:rsid w:val="00C90109"/>
    <w:rsid w:val="00CB0629"/>
    <w:rsid w:val="00CE0094"/>
    <w:rsid w:val="00CE1CD0"/>
    <w:rsid w:val="00CE2A6D"/>
    <w:rsid w:val="00CE637C"/>
    <w:rsid w:val="00D149D7"/>
    <w:rsid w:val="00D16639"/>
    <w:rsid w:val="00D319C1"/>
    <w:rsid w:val="00D350AE"/>
    <w:rsid w:val="00D36FDA"/>
    <w:rsid w:val="00D40BDF"/>
    <w:rsid w:val="00D44311"/>
    <w:rsid w:val="00D47B6A"/>
    <w:rsid w:val="00D61EA9"/>
    <w:rsid w:val="00D86C6A"/>
    <w:rsid w:val="00D9442B"/>
    <w:rsid w:val="00DA6EE7"/>
    <w:rsid w:val="00DB6BD3"/>
    <w:rsid w:val="00DB79E6"/>
    <w:rsid w:val="00DC1973"/>
    <w:rsid w:val="00DC49CF"/>
    <w:rsid w:val="00DD3F26"/>
    <w:rsid w:val="00DE4655"/>
    <w:rsid w:val="00E03CDF"/>
    <w:rsid w:val="00E1409D"/>
    <w:rsid w:val="00E23119"/>
    <w:rsid w:val="00E57333"/>
    <w:rsid w:val="00E665D2"/>
    <w:rsid w:val="00E9735F"/>
    <w:rsid w:val="00ED3E28"/>
    <w:rsid w:val="00EE1E21"/>
    <w:rsid w:val="00EF5A52"/>
    <w:rsid w:val="00F30415"/>
    <w:rsid w:val="00F37A82"/>
    <w:rsid w:val="00F42329"/>
    <w:rsid w:val="00F51F48"/>
    <w:rsid w:val="00F84D8E"/>
    <w:rsid w:val="00F928B4"/>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175668">
      <w:bodyDiv w:val="1"/>
      <w:marLeft w:val="0"/>
      <w:marRight w:val="0"/>
      <w:marTop w:val="0"/>
      <w:marBottom w:val="0"/>
      <w:divBdr>
        <w:top w:val="none" w:sz="0" w:space="0" w:color="auto"/>
        <w:left w:val="none" w:sz="0" w:space="0" w:color="auto"/>
        <w:bottom w:val="none" w:sz="0" w:space="0" w:color="auto"/>
        <w:right w:val="none" w:sz="0" w:space="0" w:color="auto"/>
      </w:divBdr>
    </w:div>
    <w:div w:id="1011637851">
      <w:bodyDiv w:val="1"/>
      <w:marLeft w:val="0"/>
      <w:marRight w:val="0"/>
      <w:marTop w:val="0"/>
      <w:marBottom w:val="0"/>
      <w:divBdr>
        <w:top w:val="none" w:sz="0" w:space="0" w:color="auto"/>
        <w:left w:val="none" w:sz="0" w:space="0" w:color="auto"/>
        <w:bottom w:val="none" w:sz="0" w:space="0" w:color="auto"/>
        <w:right w:val="none" w:sz="0" w:space="0" w:color="auto"/>
      </w:divBdr>
    </w:div>
    <w:div w:id="15118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A7E1-5749-4876-9FBE-514FEC8A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M S F de Freitas (DA) to ask the Minister of Tourism:  </vt:lpstr>
      <vt:lpstr>(a)(i)-(ii) The target for number of graded establishments for the period with a</vt:lpstr>
    </vt:vector>
  </TitlesOfParts>
  <Company>Toshiba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2022-12-01T10:06:00Z</cp:lastPrinted>
  <dcterms:created xsi:type="dcterms:W3CDTF">2023-01-19T09:28:00Z</dcterms:created>
  <dcterms:modified xsi:type="dcterms:W3CDTF">2023-01-19T09:28:00Z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093f7e1cc605b80694410dfa589a982e4158c30ecc8b4d1bd98de4b2b77fdfba</vt:lpwstr>
  </property>
</Properties>
</file>