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FA" w:rsidRDefault="00B00DFA" w:rsidP="00126BB3">
      <w:pPr>
        <w:spacing w:before="100" w:beforeAutospacing="1" w:after="100" w:afterAutospacing="1" w:line="360" w:lineRule="auto"/>
        <w:ind w:left="720" w:right="26" w:hanging="720"/>
        <w:jc w:val="both"/>
        <w:outlineLvl w:val="0"/>
        <w:rPr>
          <w:rFonts w:ascii="Arial" w:hAnsi="Arial" w:cs="Arial"/>
          <w:b/>
        </w:rPr>
      </w:pPr>
      <w:r>
        <w:rPr>
          <w:rFonts w:ascii="Arial" w:hAnsi="Arial" w:cs="Arial"/>
          <w:b/>
        </w:rPr>
        <w:t>National Assembly</w:t>
      </w:r>
    </w:p>
    <w:p w:rsidR="00B00DFA" w:rsidRDefault="00B00DFA" w:rsidP="00126BB3">
      <w:pPr>
        <w:spacing w:before="100" w:beforeAutospacing="1" w:after="100" w:afterAutospacing="1" w:line="360" w:lineRule="auto"/>
        <w:ind w:left="720" w:right="26" w:hanging="720"/>
        <w:jc w:val="both"/>
        <w:outlineLvl w:val="0"/>
        <w:rPr>
          <w:rFonts w:ascii="Arial" w:hAnsi="Arial" w:cs="Arial"/>
          <w:b/>
        </w:rPr>
      </w:pPr>
      <w:r>
        <w:rPr>
          <w:rFonts w:ascii="Arial" w:hAnsi="Arial" w:cs="Arial"/>
          <w:b/>
        </w:rPr>
        <w:t>Question No 3531</w:t>
      </w:r>
      <w:bookmarkStart w:id="0" w:name="_GoBack"/>
      <w:bookmarkEnd w:id="0"/>
    </w:p>
    <w:p w:rsidR="00126BB3" w:rsidRPr="00E019B1" w:rsidRDefault="00126BB3" w:rsidP="00126BB3">
      <w:pPr>
        <w:spacing w:before="100" w:beforeAutospacing="1" w:after="100" w:afterAutospacing="1" w:line="360" w:lineRule="auto"/>
        <w:ind w:left="720" w:right="26" w:hanging="720"/>
        <w:jc w:val="both"/>
        <w:outlineLvl w:val="0"/>
        <w:rPr>
          <w:rFonts w:ascii="Arial" w:hAnsi="Arial" w:cs="Arial"/>
          <w:b/>
        </w:rPr>
      </w:pPr>
      <w:r w:rsidRPr="00E019B1">
        <w:rPr>
          <w:rFonts w:ascii="Arial" w:hAnsi="Arial" w:cs="Arial"/>
          <w:b/>
        </w:rPr>
        <w:t>Ms H S Winkler (DA) to ask the Minister of Transport</w:t>
      </w:r>
      <w:r w:rsidR="00606334" w:rsidRPr="00E019B1">
        <w:rPr>
          <w:rFonts w:ascii="Arial" w:hAnsi="Arial" w:cs="Arial"/>
          <w:b/>
        </w:rPr>
        <w:fldChar w:fldCharType="begin"/>
      </w:r>
      <w:r w:rsidRPr="00E019B1">
        <w:rPr>
          <w:rFonts w:ascii="Arial" w:hAnsi="Arial" w:cs="Arial"/>
        </w:rPr>
        <w:instrText xml:space="preserve"> XE "</w:instrText>
      </w:r>
      <w:r w:rsidRPr="00E019B1">
        <w:rPr>
          <w:rFonts w:ascii="Arial" w:hAnsi="Arial" w:cs="Arial"/>
          <w:b/>
        </w:rPr>
        <w:instrText>Minister of Transport</w:instrText>
      </w:r>
      <w:r w:rsidRPr="00E019B1">
        <w:rPr>
          <w:rFonts w:ascii="Arial" w:hAnsi="Arial" w:cs="Arial"/>
        </w:rPr>
        <w:instrText xml:space="preserve">" </w:instrText>
      </w:r>
      <w:r w:rsidR="00606334" w:rsidRPr="00E019B1">
        <w:rPr>
          <w:rFonts w:ascii="Arial" w:hAnsi="Arial" w:cs="Arial"/>
          <w:b/>
        </w:rPr>
        <w:fldChar w:fldCharType="end"/>
      </w:r>
      <w:r w:rsidRPr="00E019B1">
        <w:rPr>
          <w:rFonts w:ascii="Arial" w:hAnsi="Arial" w:cs="Arial"/>
          <w:b/>
        </w:rPr>
        <w:t>:</w:t>
      </w:r>
    </w:p>
    <w:p w:rsidR="00126BB3" w:rsidRPr="00E019B1" w:rsidRDefault="00126BB3" w:rsidP="00B00DFA">
      <w:pPr>
        <w:spacing w:before="100" w:beforeAutospacing="1" w:after="100" w:afterAutospacing="1" w:line="360" w:lineRule="auto"/>
        <w:ind w:right="26"/>
        <w:jc w:val="both"/>
        <w:rPr>
          <w:rFonts w:ascii="Arial" w:hAnsi="Arial" w:cs="Arial"/>
        </w:rPr>
      </w:pPr>
      <w:r w:rsidRPr="00E019B1">
        <w:rPr>
          <w:rFonts w:ascii="Arial" w:hAnsi="Arial" w:cs="Arial"/>
        </w:rPr>
        <w:t>With reference to the air licensing backlog caused by the delay in finalising the appointment of the Air Services Licensing Council, which prevents local airlines from acquiring new international routes and/or flight frequencies, what (a) is the current status of the air licensing backlog and (b) interactions has his department had with the Department of Tourism regarding the backlogs?</w:t>
      </w:r>
      <w:r w:rsidRPr="00E019B1">
        <w:rPr>
          <w:rFonts w:ascii="Arial" w:hAnsi="Arial" w:cs="Arial"/>
        </w:rPr>
        <w:tab/>
      </w:r>
      <w:r w:rsidRPr="00E019B1">
        <w:rPr>
          <w:rFonts w:ascii="Arial" w:hAnsi="Arial" w:cs="Arial"/>
        </w:rPr>
        <w:tab/>
      </w:r>
      <w:r w:rsidRPr="00E019B1">
        <w:rPr>
          <w:rFonts w:ascii="Arial" w:hAnsi="Arial" w:cs="Arial"/>
        </w:rPr>
        <w:tab/>
      </w:r>
      <w:r w:rsidRPr="00E019B1">
        <w:rPr>
          <w:rFonts w:ascii="Arial" w:hAnsi="Arial" w:cs="Arial"/>
        </w:rPr>
        <w:tab/>
        <w:t>NW4344E</w:t>
      </w:r>
    </w:p>
    <w:p w:rsidR="00BD599B" w:rsidRPr="00E019B1" w:rsidRDefault="00BD599B" w:rsidP="002628E5">
      <w:pPr>
        <w:spacing w:before="100" w:beforeAutospacing="1" w:after="100" w:afterAutospacing="1" w:line="360" w:lineRule="auto"/>
        <w:ind w:left="720" w:right="26" w:hanging="720"/>
        <w:jc w:val="both"/>
        <w:outlineLvl w:val="0"/>
        <w:rPr>
          <w:rFonts w:ascii="Arial" w:eastAsia="Arial" w:hAnsi="Arial" w:cs="Arial"/>
          <w:b/>
        </w:rPr>
      </w:pPr>
      <w:r w:rsidRPr="00E019B1">
        <w:rPr>
          <w:rFonts w:ascii="Arial" w:eastAsia="Arial" w:hAnsi="Arial" w:cs="Arial"/>
          <w:b/>
        </w:rPr>
        <w:t>REPLY</w:t>
      </w:r>
    </w:p>
    <w:p w:rsidR="008D578B" w:rsidRPr="00E019B1" w:rsidRDefault="008D578B" w:rsidP="008D578B">
      <w:pPr>
        <w:pStyle w:val="ListParagraph"/>
        <w:spacing w:before="100" w:beforeAutospacing="1" w:after="100" w:afterAutospacing="1" w:line="360" w:lineRule="auto"/>
        <w:ind w:left="709" w:hanging="142"/>
        <w:jc w:val="both"/>
        <w:rPr>
          <w:rFonts w:ascii="Arial" w:hAnsi="Arial" w:cs="Arial"/>
          <w:b/>
        </w:rPr>
      </w:pPr>
      <w:r w:rsidRPr="00E019B1">
        <w:rPr>
          <w:rFonts w:ascii="Arial" w:hAnsi="Arial" w:cs="Arial"/>
          <w:b/>
        </w:rPr>
        <w:t>(a) what is the current status of the air licensing backlog?</w:t>
      </w:r>
    </w:p>
    <w:p w:rsidR="008D578B" w:rsidRDefault="008D578B" w:rsidP="008D578B">
      <w:pPr>
        <w:spacing w:before="100" w:beforeAutospacing="1" w:after="100" w:afterAutospacing="1" w:line="360" w:lineRule="auto"/>
        <w:ind w:left="567"/>
        <w:jc w:val="both"/>
        <w:rPr>
          <w:rFonts w:ascii="Arial" w:hAnsi="Arial" w:cs="Arial"/>
        </w:rPr>
      </w:pPr>
      <w:r>
        <w:rPr>
          <w:rFonts w:ascii="Arial" w:hAnsi="Arial" w:cs="Arial"/>
        </w:rPr>
        <w:t xml:space="preserve">The Licensing Councils had a total of 166 applications/amendment applications submitted between March 2020 and March 2022. As of March 2022, the Councils have adjudicated 113 applications. </w:t>
      </w:r>
    </w:p>
    <w:p w:rsidR="008D578B" w:rsidRDefault="008D578B" w:rsidP="008D578B">
      <w:pPr>
        <w:spacing w:before="100" w:beforeAutospacing="1" w:after="100" w:afterAutospacing="1" w:line="360" w:lineRule="auto"/>
        <w:ind w:left="567"/>
        <w:jc w:val="both"/>
        <w:rPr>
          <w:rFonts w:ascii="Arial" w:hAnsi="Arial" w:cs="Arial"/>
        </w:rPr>
      </w:pPr>
      <w:r>
        <w:rPr>
          <w:rFonts w:ascii="Arial" w:hAnsi="Arial" w:cs="Arial"/>
        </w:rPr>
        <w:t>The table below shows a breakdown of the applications:</w:t>
      </w:r>
    </w:p>
    <w:tbl>
      <w:tblPr>
        <w:tblStyle w:val="TableGrid1"/>
        <w:tblW w:w="0" w:type="auto"/>
        <w:tblInd w:w="625" w:type="dxa"/>
        <w:tblLook w:val="04A0"/>
      </w:tblPr>
      <w:tblGrid>
        <w:gridCol w:w="2970"/>
        <w:gridCol w:w="1620"/>
        <w:gridCol w:w="1942"/>
        <w:gridCol w:w="1790"/>
      </w:tblGrid>
      <w:tr w:rsidR="008D578B" w:rsidRPr="0028673A" w:rsidTr="00B22259">
        <w:tc>
          <w:tcPr>
            <w:tcW w:w="2970" w:type="dxa"/>
          </w:tcPr>
          <w:p w:rsidR="008D578B" w:rsidRPr="0028673A" w:rsidRDefault="008D578B" w:rsidP="00B22259">
            <w:pPr>
              <w:rPr>
                <w:rFonts w:ascii="Arial" w:eastAsia="Times New Roman" w:hAnsi="Arial" w:cs="Arial"/>
                <w:b/>
                <w:sz w:val="24"/>
                <w:szCs w:val="24"/>
                <w:lang w:eastAsia="en-ZA"/>
              </w:rPr>
            </w:pPr>
            <w:r w:rsidRPr="0028673A">
              <w:rPr>
                <w:rFonts w:ascii="Arial" w:eastAsia="Times New Roman" w:hAnsi="Arial" w:cs="Arial"/>
                <w:b/>
                <w:sz w:val="24"/>
                <w:szCs w:val="24"/>
                <w:lang w:eastAsia="en-ZA"/>
              </w:rPr>
              <w:t>Type of Application</w:t>
            </w:r>
          </w:p>
        </w:tc>
        <w:tc>
          <w:tcPr>
            <w:tcW w:w="1620" w:type="dxa"/>
          </w:tcPr>
          <w:p w:rsidR="008D578B" w:rsidRPr="0028673A" w:rsidRDefault="008D578B" w:rsidP="00B22259">
            <w:pPr>
              <w:rPr>
                <w:rFonts w:ascii="Arial" w:eastAsia="Times New Roman" w:hAnsi="Arial" w:cs="Arial"/>
                <w:b/>
                <w:sz w:val="24"/>
                <w:szCs w:val="24"/>
                <w:lang w:eastAsia="en-ZA"/>
              </w:rPr>
            </w:pPr>
            <w:r w:rsidRPr="0028673A">
              <w:rPr>
                <w:rFonts w:ascii="Arial" w:eastAsia="Times New Roman" w:hAnsi="Arial" w:cs="Arial"/>
                <w:b/>
                <w:sz w:val="24"/>
                <w:szCs w:val="24"/>
                <w:lang w:eastAsia="en-ZA"/>
              </w:rPr>
              <w:t>Number</w:t>
            </w:r>
          </w:p>
        </w:tc>
        <w:tc>
          <w:tcPr>
            <w:tcW w:w="1942" w:type="dxa"/>
          </w:tcPr>
          <w:p w:rsidR="008D578B" w:rsidRPr="0028673A" w:rsidRDefault="008D578B" w:rsidP="00B22259">
            <w:pPr>
              <w:rPr>
                <w:rFonts w:ascii="Arial" w:eastAsia="Times New Roman" w:hAnsi="Arial" w:cs="Arial"/>
                <w:b/>
                <w:sz w:val="24"/>
                <w:szCs w:val="24"/>
                <w:lang w:eastAsia="en-ZA"/>
              </w:rPr>
            </w:pPr>
            <w:r w:rsidRPr="0028673A">
              <w:rPr>
                <w:rFonts w:ascii="Arial" w:eastAsia="Times New Roman" w:hAnsi="Arial" w:cs="Arial"/>
                <w:b/>
                <w:sz w:val="24"/>
                <w:szCs w:val="24"/>
                <w:lang w:eastAsia="en-ZA"/>
              </w:rPr>
              <w:t>Considered by Council</w:t>
            </w:r>
            <w:r>
              <w:rPr>
                <w:rFonts w:ascii="Arial" w:eastAsia="Times New Roman" w:hAnsi="Arial" w:cs="Arial"/>
                <w:b/>
                <w:sz w:val="24"/>
                <w:szCs w:val="24"/>
                <w:lang w:eastAsia="en-ZA"/>
              </w:rPr>
              <w:t>s</w:t>
            </w:r>
          </w:p>
        </w:tc>
        <w:tc>
          <w:tcPr>
            <w:tcW w:w="1790" w:type="dxa"/>
          </w:tcPr>
          <w:p w:rsidR="008D578B" w:rsidRPr="0028673A" w:rsidRDefault="008D578B" w:rsidP="00B22259">
            <w:pPr>
              <w:rPr>
                <w:rFonts w:ascii="Arial" w:eastAsia="Times New Roman" w:hAnsi="Arial" w:cs="Arial"/>
                <w:b/>
                <w:sz w:val="24"/>
                <w:szCs w:val="24"/>
                <w:lang w:eastAsia="en-ZA"/>
              </w:rPr>
            </w:pPr>
            <w:r w:rsidRPr="0028673A">
              <w:rPr>
                <w:rFonts w:ascii="Arial" w:eastAsia="Times New Roman" w:hAnsi="Arial" w:cs="Arial"/>
                <w:b/>
                <w:sz w:val="24"/>
                <w:szCs w:val="24"/>
                <w:lang w:eastAsia="en-ZA"/>
              </w:rPr>
              <w:t>Pending consideration</w:t>
            </w:r>
          </w:p>
        </w:tc>
      </w:tr>
      <w:tr w:rsidR="008D578B" w:rsidRPr="0028673A" w:rsidTr="00B22259">
        <w:tc>
          <w:tcPr>
            <w:tcW w:w="2970" w:type="dxa"/>
          </w:tcPr>
          <w:p w:rsidR="008D578B" w:rsidRPr="0028673A" w:rsidRDefault="008D578B" w:rsidP="00B22259">
            <w:pPr>
              <w:rPr>
                <w:rFonts w:ascii="Arial" w:eastAsia="Times New Roman" w:hAnsi="Arial" w:cs="Arial"/>
                <w:sz w:val="24"/>
                <w:szCs w:val="24"/>
                <w:lang w:eastAsia="en-ZA"/>
              </w:rPr>
            </w:pPr>
            <w:r w:rsidRPr="0028673A">
              <w:rPr>
                <w:rFonts w:ascii="Arial" w:eastAsia="Times New Roman" w:hAnsi="Arial" w:cs="Arial"/>
                <w:sz w:val="24"/>
                <w:szCs w:val="24"/>
                <w:lang w:eastAsia="en-ZA"/>
              </w:rPr>
              <w:t>New Applications</w:t>
            </w:r>
          </w:p>
          <w:p w:rsidR="008D578B" w:rsidRPr="0028673A" w:rsidRDefault="008D578B" w:rsidP="00B22259">
            <w:pPr>
              <w:rPr>
                <w:rFonts w:ascii="Arial" w:eastAsia="Times New Roman" w:hAnsi="Arial" w:cs="Arial"/>
                <w:sz w:val="24"/>
                <w:szCs w:val="24"/>
                <w:lang w:eastAsia="en-ZA"/>
              </w:rPr>
            </w:pPr>
          </w:p>
        </w:tc>
        <w:tc>
          <w:tcPr>
            <w:tcW w:w="1620" w:type="dxa"/>
          </w:tcPr>
          <w:p w:rsidR="008D578B" w:rsidRPr="0028673A" w:rsidRDefault="008D578B" w:rsidP="00B22259">
            <w:pPr>
              <w:rPr>
                <w:rFonts w:ascii="Arial" w:eastAsia="Times New Roman" w:hAnsi="Arial" w:cs="Arial"/>
                <w:sz w:val="24"/>
                <w:szCs w:val="24"/>
                <w:lang w:eastAsia="en-ZA"/>
              </w:rPr>
            </w:pPr>
            <w:r w:rsidRPr="0028673A">
              <w:rPr>
                <w:rFonts w:ascii="Arial" w:eastAsia="Times New Roman" w:hAnsi="Arial" w:cs="Arial"/>
                <w:sz w:val="24"/>
                <w:szCs w:val="24"/>
                <w:lang w:eastAsia="en-ZA"/>
              </w:rPr>
              <w:t>49</w:t>
            </w:r>
          </w:p>
        </w:tc>
        <w:tc>
          <w:tcPr>
            <w:tcW w:w="1942" w:type="dxa"/>
          </w:tcPr>
          <w:p w:rsidR="008D578B" w:rsidRPr="0028673A" w:rsidRDefault="008D578B" w:rsidP="00B22259">
            <w:pPr>
              <w:rPr>
                <w:rFonts w:ascii="Arial" w:eastAsia="Times New Roman" w:hAnsi="Arial" w:cs="Arial"/>
                <w:sz w:val="24"/>
                <w:szCs w:val="24"/>
                <w:lang w:eastAsia="en-ZA"/>
              </w:rPr>
            </w:pPr>
            <w:r w:rsidRPr="0028673A">
              <w:rPr>
                <w:rFonts w:ascii="Arial" w:eastAsia="Times New Roman" w:hAnsi="Arial" w:cs="Arial"/>
                <w:sz w:val="24"/>
                <w:szCs w:val="24"/>
                <w:lang w:eastAsia="en-ZA"/>
              </w:rPr>
              <w:t>25</w:t>
            </w:r>
          </w:p>
        </w:tc>
        <w:tc>
          <w:tcPr>
            <w:tcW w:w="1790" w:type="dxa"/>
          </w:tcPr>
          <w:p w:rsidR="008D578B" w:rsidRPr="0028673A" w:rsidRDefault="008D578B" w:rsidP="00B22259">
            <w:pPr>
              <w:rPr>
                <w:rFonts w:ascii="Arial" w:eastAsia="Times New Roman" w:hAnsi="Arial" w:cs="Arial"/>
                <w:sz w:val="24"/>
                <w:szCs w:val="24"/>
                <w:lang w:eastAsia="en-ZA"/>
              </w:rPr>
            </w:pPr>
            <w:r w:rsidRPr="0028673A">
              <w:rPr>
                <w:rFonts w:ascii="Arial" w:eastAsia="Times New Roman" w:hAnsi="Arial" w:cs="Arial"/>
                <w:sz w:val="24"/>
                <w:szCs w:val="24"/>
                <w:lang w:eastAsia="en-ZA"/>
              </w:rPr>
              <w:t>24</w:t>
            </w:r>
          </w:p>
        </w:tc>
      </w:tr>
      <w:tr w:rsidR="008D578B" w:rsidRPr="0028673A" w:rsidTr="00B22259">
        <w:tc>
          <w:tcPr>
            <w:tcW w:w="2970" w:type="dxa"/>
          </w:tcPr>
          <w:p w:rsidR="008D578B" w:rsidRPr="0028673A" w:rsidRDefault="008D578B" w:rsidP="00B22259">
            <w:pPr>
              <w:rPr>
                <w:rFonts w:ascii="Arial" w:eastAsia="Times New Roman" w:hAnsi="Arial" w:cs="Arial"/>
                <w:sz w:val="24"/>
                <w:szCs w:val="24"/>
                <w:lang w:eastAsia="en-ZA"/>
              </w:rPr>
            </w:pPr>
            <w:r w:rsidRPr="0028673A">
              <w:rPr>
                <w:rFonts w:ascii="Arial" w:eastAsia="Times New Roman" w:hAnsi="Arial" w:cs="Arial"/>
                <w:sz w:val="24"/>
                <w:szCs w:val="24"/>
                <w:lang w:eastAsia="en-ZA"/>
              </w:rPr>
              <w:t>Amendment Applications</w:t>
            </w:r>
          </w:p>
          <w:p w:rsidR="008D578B" w:rsidRPr="0028673A" w:rsidRDefault="008D578B" w:rsidP="00B22259">
            <w:pPr>
              <w:rPr>
                <w:rFonts w:ascii="Arial" w:eastAsia="Times New Roman" w:hAnsi="Arial" w:cs="Arial"/>
                <w:sz w:val="24"/>
                <w:szCs w:val="24"/>
                <w:lang w:eastAsia="en-ZA"/>
              </w:rPr>
            </w:pPr>
          </w:p>
        </w:tc>
        <w:tc>
          <w:tcPr>
            <w:tcW w:w="1620" w:type="dxa"/>
          </w:tcPr>
          <w:p w:rsidR="008D578B" w:rsidRPr="0028673A" w:rsidRDefault="008D578B" w:rsidP="00B22259">
            <w:pPr>
              <w:rPr>
                <w:rFonts w:ascii="Arial" w:eastAsia="Times New Roman" w:hAnsi="Arial" w:cs="Arial"/>
                <w:sz w:val="24"/>
                <w:szCs w:val="24"/>
                <w:lang w:eastAsia="en-ZA"/>
              </w:rPr>
            </w:pPr>
            <w:r w:rsidRPr="0028673A">
              <w:rPr>
                <w:rFonts w:ascii="Arial" w:eastAsia="Times New Roman" w:hAnsi="Arial" w:cs="Arial"/>
                <w:sz w:val="24"/>
                <w:szCs w:val="24"/>
                <w:lang w:eastAsia="en-ZA"/>
              </w:rPr>
              <w:t>117</w:t>
            </w:r>
          </w:p>
        </w:tc>
        <w:tc>
          <w:tcPr>
            <w:tcW w:w="1942" w:type="dxa"/>
          </w:tcPr>
          <w:p w:rsidR="008D578B" w:rsidRPr="0028673A" w:rsidRDefault="008D578B" w:rsidP="00B22259">
            <w:pPr>
              <w:rPr>
                <w:rFonts w:ascii="Arial" w:eastAsia="Times New Roman" w:hAnsi="Arial" w:cs="Arial"/>
                <w:sz w:val="24"/>
                <w:szCs w:val="24"/>
                <w:lang w:eastAsia="en-ZA"/>
              </w:rPr>
            </w:pPr>
            <w:r w:rsidRPr="0028673A">
              <w:rPr>
                <w:rFonts w:ascii="Arial" w:eastAsia="Times New Roman" w:hAnsi="Arial" w:cs="Arial"/>
                <w:sz w:val="24"/>
                <w:szCs w:val="24"/>
                <w:lang w:eastAsia="en-ZA"/>
              </w:rPr>
              <w:t>88</w:t>
            </w:r>
          </w:p>
        </w:tc>
        <w:tc>
          <w:tcPr>
            <w:tcW w:w="1790" w:type="dxa"/>
          </w:tcPr>
          <w:p w:rsidR="008D578B" w:rsidRPr="0028673A" w:rsidRDefault="008D578B" w:rsidP="00B22259">
            <w:pPr>
              <w:rPr>
                <w:rFonts w:ascii="Arial" w:eastAsia="Times New Roman" w:hAnsi="Arial" w:cs="Arial"/>
                <w:sz w:val="24"/>
                <w:szCs w:val="24"/>
                <w:lang w:eastAsia="en-ZA"/>
              </w:rPr>
            </w:pPr>
            <w:r w:rsidRPr="0028673A">
              <w:rPr>
                <w:rFonts w:ascii="Arial" w:eastAsia="Times New Roman" w:hAnsi="Arial" w:cs="Arial"/>
                <w:sz w:val="24"/>
                <w:szCs w:val="24"/>
                <w:lang w:eastAsia="en-ZA"/>
              </w:rPr>
              <w:t>29</w:t>
            </w:r>
          </w:p>
        </w:tc>
      </w:tr>
      <w:tr w:rsidR="008D578B" w:rsidRPr="0028673A" w:rsidTr="00B22259">
        <w:tc>
          <w:tcPr>
            <w:tcW w:w="2970" w:type="dxa"/>
          </w:tcPr>
          <w:p w:rsidR="008D578B" w:rsidRPr="0028673A" w:rsidRDefault="008D578B" w:rsidP="00B22259">
            <w:pPr>
              <w:rPr>
                <w:rFonts w:ascii="Arial" w:eastAsia="Times New Roman" w:hAnsi="Arial" w:cs="Arial"/>
                <w:sz w:val="24"/>
                <w:szCs w:val="24"/>
                <w:lang w:eastAsia="en-ZA"/>
              </w:rPr>
            </w:pPr>
            <w:r w:rsidRPr="0028673A">
              <w:rPr>
                <w:rFonts w:ascii="Arial" w:eastAsia="Times New Roman" w:hAnsi="Arial" w:cs="Arial"/>
                <w:sz w:val="24"/>
                <w:szCs w:val="24"/>
                <w:lang w:eastAsia="en-ZA"/>
              </w:rPr>
              <w:t>Total</w:t>
            </w:r>
          </w:p>
        </w:tc>
        <w:tc>
          <w:tcPr>
            <w:tcW w:w="1620" w:type="dxa"/>
          </w:tcPr>
          <w:p w:rsidR="008D578B" w:rsidRPr="0028673A" w:rsidRDefault="008D578B" w:rsidP="00B22259">
            <w:pPr>
              <w:rPr>
                <w:rFonts w:ascii="Arial" w:eastAsia="Times New Roman" w:hAnsi="Arial" w:cs="Arial"/>
                <w:sz w:val="24"/>
                <w:szCs w:val="24"/>
                <w:lang w:eastAsia="en-ZA"/>
              </w:rPr>
            </w:pPr>
            <w:r w:rsidRPr="0028673A">
              <w:rPr>
                <w:rFonts w:ascii="Arial" w:eastAsia="Times New Roman" w:hAnsi="Arial" w:cs="Arial"/>
                <w:sz w:val="24"/>
                <w:szCs w:val="24"/>
                <w:lang w:eastAsia="en-ZA"/>
              </w:rPr>
              <w:t>166</w:t>
            </w:r>
          </w:p>
        </w:tc>
        <w:tc>
          <w:tcPr>
            <w:tcW w:w="1942" w:type="dxa"/>
          </w:tcPr>
          <w:p w:rsidR="008D578B" w:rsidRPr="0028673A" w:rsidRDefault="008D578B" w:rsidP="00B22259">
            <w:pPr>
              <w:rPr>
                <w:rFonts w:ascii="Arial" w:eastAsia="Times New Roman" w:hAnsi="Arial" w:cs="Arial"/>
                <w:sz w:val="24"/>
                <w:szCs w:val="24"/>
                <w:lang w:eastAsia="en-ZA"/>
              </w:rPr>
            </w:pPr>
            <w:r w:rsidRPr="0028673A">
              <w:rPr>
                <w:rFonts w:ascii="Arial" w:eastAsia="Times New Roman" w:hAnsi="Arial" w:cs="Arial"/>
                <w:sz w:val="24"/>
                <w:szCs w:val="24"/>
                <w:lang w:eastAsia="en-ZA"/>
              </w:rPr>
              <w:t>113</w:t>
            </w:r>
          </w:p>
        </w:tc>
        <w:tc>
          <w:tcPr>
            <w:tcW w:w="1790" w:type="dxa"/>
          </w:tcPr>
          <w:p w:rsidR="008D578B" w:rsidRPr="0028673A" w:rsidRDefault="008D578B" w:rsidP="00B22259">
            <w:pPr>
              <w:rPr>
                <w:rFonts w:ascii="Arial" w:eastAsia="Times New Roman" w:hAnsi="Arial" w:cs="Arial"/>
                <w:sz w:val="24"/>
                <w:szCs w:val="24"/>
                <w:lang w:eastAsia="en-ZA"/>
              </w:rPr>
            </w:pPr>
            <w:r w:rsidRPr="0028673A">
              <w:rPr>
                <w:rFonts w:ascii="Arial" w:eastAsia="Times New Roman" w:hAnsi="Arial" w:cs="Arial"/>
                <w:sz w:val="24"/>
                <w:szCs w:val="24"/>
                <w:lang w:eastAsia="en-ZA"/>
              </w:rPr>
              <w:t>53</w:t>
            </w:r>
          </w:p>
        </w:tc>
      </w:tr>
    </w:tbl>
    <w:p w:rsidR="008D578B" w:rsidRDefault="008D578B" w:rsidP="008D578B">
      <w:pPr>
        <w:spacing w:before="100" w:beforeAutospacing="1" w:after="100" w:afterAutospacing="1" w:line="360" w:lineRule="auto"/>
        <w:ind w:left="567"/>
        <w:jc w:val="both"/>
        <w:rPr>
          <w:rFonts w:ascii="Arial" w:hAnsi="Arial" w:cs="Arial"/>
        </w:rPr>
      </w:pPr>
      <w:r>
        <w:rPr>
          <w:rFonts w:ascii="Arial" w:hAnsi="Arial" w:cs="Arial"/>
        </w:rPr>
        <w:t>From the backlog, the Council has 53 pending applications/ amendment applications that need to be considered.</w:t>
      </w:r>
    </w:p>
    <w:p w:rsidR="008D578B" w:rsidRPr="00E019B1" w:rsidRDefault="008D578B" w:rsidP="008D578B">
      <w:pPr>
        <w:spacing w:before="100" w:beforeAutospacing="1" w:after="100" w:afterAutospacing="1" w:line="360" w:lineRule="auto"/>
        <w:ind w:left="567"/>
        <w:jc w:val="both"/>
        <w:rPr>
          <w:rFonts w:ascii="Arial" w:hAnsi="Arial" w:cs="Arial"/>
        </w:rPr>
      </w:pPr>
      <w:r w:rsidRPr="00E019B1">
        <w:rPr>
          <w:rFonts w:ascii="Arial" w:hAnsi="Arial" w:cs="Arial"/>
        </w:rPr>
        <w:t xml:space="preserve">A directive was issued by the Minister that all pending applications and/or new applications which were delegated to the South Africa Civil Aviation Authority (SACAA) pending the appointment of both Councils must be attended too with </w:t>
      </w:r>
      <w:r w:rsidRPr="00E019B1">
        <w:rPr>
          <w:rFonts w:ascii="Arial" w:hAnsi="Arial" w:cs="Arial"/>
        </w:rPr>
        <w:lastRenderedPageBreak/>
        <w:t xml:space="preserve">speed, so as to enable industry to ramp up post some of the challenges presented by the COVID-19 pandemic. </w:t>
      </w:r>
    </w:p>
    <w:p w:rsidR="008D578B" w:rsidRPr="00E019B1" w:rsidRDefault="008D578B" w:rsidP="008D578B">
      <w:pPr>
        <w:spacing w:before="100" w:beforeAutospacing="1" w:after="100" w:afterAutospacing="1" w:line="360" w:lineRule="auto"/>
        <w:ind w:left="567"/>
        <w:jc w:val="both"/>
        <w:rPr>
          <w:rFonts w:ascii="Arial" w:hAnsi="Arial" w:cs="Arial"/>
          <w:b/>
        </w:rPr>
      </w:pPr>
      <w:r w:rsidRPr="00E019B1">
        <w:rPr>
          <w:rFonts w:ascii="Arial" w:hAnsi="Arial" w:cs="Arial"/>
        </w:rPr>
        <w:t xml:space="preserve">New applications have since been submitted by air service operators, together with revised and/amended documents as some information as, due to the lapse of time, expired and/or become irrelevant. Revised and updated documentation is being submitted to the Council Secretariat on a daily basis and this is facilitating the speedy adjudication and communication of Council Resolutions to operators, so as to ensure that they are able to ramp up their operations. </w:t>
      </w:r>
    </w:p>
    <w:p w:rsidR="008D578B" w:rsidRPr="00E019B1" w:rsidRDefault="008D578B" w:rsidP="008D578B">
      <w:pPr>
        <w:pStyle w:val="ListParagraph"/>
        <w:spacing w:before="100" w:beforeAutospacing="1" w:after="100" w:afterAutospacing="1" w:line="360" w:lineRule="auto"/>
        <w:ind w:left="709" w:hanging="142"/>
        <w:jc w:val="both"/>
        <w:rPr>
          <w:rFonts w:ascii="Arial" w:eastAsia="Arial" w:hAnsi="Arial" w:cs="Arial"/>
          <w:b/>
        </w:rPr>
      </w:pPr>
      <w:r w:rsidRPr="00E019B1">
        <w:rPr>
          <w:rFonts w:ascii="Arial" w:hAnsi="Arial" w:cs="Arial"/>
          <w:b/>
        </w:rPr>
        <w:t>(b) interactions</w:t>
      </w:r>
      <w:r>
        <w:rPr>
          <w:rFonts w:ascii="Arial" w:hAnsi="Arial" w:cs="Arial"/>
          <w:b/>
        </w:rPr>
        <w:t xml:space="preserve"> </w:t>
      </w:r>
      <w:r w:rsidRPr="00E019B1">
        <w:rPr>
          <w:rFonts w:ascii="Arial" w:hAnsi="Arial" w:cs="Arial"/>
          <w:b/>
        </w:rPr>
        <w:t>his department had with the Department of Tourism regarding the backlogs?</w:t>
      </w:r>
    </w:p>
    <w:p w:rsidR="008D578B" w:rsidRDefault="008D578B" w:rsidP="008D578B">
      <w:pPr>
        <w:spacing w:line="360" w:lineRule="auto"/>
        <w:ind w:left="567"/>
        <w:jc w:val="both"/>
        <w:rPr>
          <w:rFonts w:ascii="Arial" w:eastAsia="Arial" w:hAnsi="Arial" w:cs="Arial"/>
        </w:rPr>
      </w:pPr>
      <w:r>
        <w:rPr>
          <w:rFonts w:ascii="Arial" w:eastAsia="Arial" w:hAnsi="Arial" w:cs="Arial"/>
        </w:rPr>
        <w:t>The Department of Transport did not have any interaction with the Department of Tourism regarding the backlogs. The Department does not engage with the Department of Tourism on the adjudication of air services licenses.</w:t>
      </w:r>
    </w:p>
    <w:p w:rsidR="008D578B" w:rsidRDefault="008D578B" w:rsidP="008D578B">
      <w:pPr>
        <w:spacing w:line="360" w:lineRule="auto"/>
        <w:ind w:left="567"/>
        <w:jc w:val="both"/>
        <w:rPr>
          <w:rFonts w:ascii="Arial" w:eastAsia="Arial" w:hAnsi="Arial" w:cs="Arial"/>
        </w:rPr>
      </w:pPr>
    </w:p>
    <w:p w:rsidR="008D578B" w:rsidRPr="00E019B1" w:rsidRDefault="008D578B" w:rsidP="008D578B">
      <w:pPr>
        <w:spacing w:line="360" w:lineRule="auto"/>
        <w:ind w:left="567"/>
        <w:jc w:val="both"/>
        <w:rPr>
          <w:rFonts w:ascii="Arial" w:hAnsi="Arial" w:cs="Arial"/>
        </w:rPr>
      </w:pPr>
      <w:r w:rsidRPr="00E019B1">
        <w:rPr>
          <w:rFonts w:ascii="Arial" w:eastAsia="Arial" w:hAnsi="Arial" w:cs="Arial"/>
        </w:rPr>
        <w:t>The Department of Transport (DOT) had a</w:t>
      </w:r>
      <w:r>
        <w:rPr>
          <w:rFonts w:ascii="Arial" w:eastAsia="Arial" w:hAnsi="Arial" w:cs="Arial"/>
        </w:rPr>
        <w:t xml:space="preserve">n interaction with the Department of Tourism and other relevant stakeholders during the </w:t>
      </w:r>
      <w:r w:rsidRPr="00E019B1">
        <w:rPr>
          <w:rFonts w:ascii="Arial" w:eastAsia="Arial" w:hAnsi="Arial" w:cs="Arial"/>
        </w:rPr>
        <w:t xml:space="preserve">Strategic Planning Session (SPC), this year in July 2022, at </w:t>
      </w:r>
      <w:proofErr w:type="spellStart"/>
      <w:r w:rsidRPr="00E019B1">
        <w:rPr>
          <w:rFonts w:ascii="Arial" w:eastAsia="Arial" w:hAnsi="Arial" w:cs="Arial"/>
        </w:rPr>
        <w:t>Wapadrand</w:t>
      </w:r>
      <w:proofErr w:type="spellEnd"/>
      <w:r w:rsidRPr="00E019B1">
        <w:rPr>
          <w:rFonts w:ascii="Arial" w:eastAsia="Arial" w:hAnsi="Arial" w:cs="Arial"/>
        </w:rPr>
        <w:t>, Pretoria</w:t>
      </w:r>
      <w:r w:rsidRPr="00E019B1">
        <w:rPr>
          <w:rFonts w:eastAsia="Arial"/>
          <w:b/>
          <w:bCs/>
        </w:rPr>
        <w:t xml:space="preserve"> </w:t>
      </w:r>
      <w:r>
        <w:rPr>
          <w:rStyle w:val="Strong"/>
          <w:rFonts w:ascii="Arial" w:hAnsi="Arial" w:cs="Arial"/>
          <w:b w:val="0"/>
        </w:rPr>
        <w:t xml:space="preserve">to discuss </w:t>
      </w:r>
      <w:r w:rsidRPr="00E019B1">
        <w:rPr>
          <w:rStyle w:val="Strong"/>
          <w:rFonts w:ascii="Arial" w:hAnsi="Arial" w:cs="Arial"/>
          <w:b w:val="0"/>
        </w:rPr>
        <w:t>matters</w:t>
      </w:r>
      <w:r w:rsidRPr="00E019B1">
        <w:rPr>
          <w:rFonts w:ascii="Arial" w:hAnsi="Arial" w:cs="Arial"/>
        </w:rPr>
        <w:t xml:space="preserve"> relating to international and domestic air transport. This platform promotes interaction </w:t>
      </w:r>
      <w:r>
        <w:rPr>
          <w:rFonts w:ascii="Arial" w:hAnsi="Arial" w:cs="Arial"/>
        </w:rPr>
        <w:t xml:space="preserve">with the aviation industry and relevant Government Departments.  </w:t>
      </w:r>
    </w:p>
    <w:p w:rsidR="008D578B" w:rsidRPr="00E019B1" w:rsidRDefault="008D578B" w:rsidP="008D578B">
      <w:pPr>
        <w:spacing w:line="360" w:lineRule="auto"/>
        <w:jc w:val="both"/>
        <w:rPr>
          <w:rFonts w:ascii="Arial" w:hAnsi="Arial" w:cs="Arial"/>
        </w:rPr>
      </w:pPr>
    </w:p>
    <w:p w:rsidR="008D578B" w:rsidRPr="00E019B1" w:rsidRDefault="008D578B" w:rsidP="008D578B">
      <w:pPr>
        <w:spacing w:line="360" w:lineRule="auto"/>
        <w:ind w:left="567"/>
        <w:jc w:val="both"/>
        <w:rPr>
          <w:rFonts w:ascii="Arial" w:hAnsi="Arial" w:cs="Arial"/>
          <w:shd w:val="clear" w:color="auto" w:fill="FFFFFF"/>
        </w:rPr>
      </w:pPr>
      <w:r w:rsidRPr="00E019B1">
        <w:rPr>
          <w:rFonts w:ascii="Arial" w:hAnsi="Arial" w:cs="Arial"/>
        </w:rPr>
        <w:t xml:space="preserve">Conversely, the International Air Services Council (IASC), participated in the Tourism Leadership Conference (TBCSA) and the Chairperson of this Council was a panellist, wherein she provided the delegates with insight on some of the topical matters that this Council has been adjudicating upon as part of the tourism recover strategy. The </w:t>
      </w:r>
      <w:r w:rsidRPr="00E019B1">
        <w:rPr>
          <w:rFonts w:ascii="Arial" w:hAnsi="Arial" w:cs="Arial"/>
          <w:shd w:val="clear" w:color="auto" w:fill="FFFFFF"/>
        </w:rPr>
        <w:t xml:space="preserve">TBCSA seeks to restore the domestic </w:t>
      </w:r>
      <w:r w:rsidRPr="00FB5A88">
        <w:rPr>
          <w:rStyle w:val="Strong"/>
          <w:rFonts w:ascii="Arial" w:hAnsi="Arial" w:cs="Arial"/>
          <w:b w:val="0"/>
        </w:rPr>
        <w:t>tourism</w:t>
      </w:r>
      <w:r w:rsidRPr="00FB5A88">
        <w:rPr>
          <w:rFonts w:ascii="Arial" w:hAnsi="Arial" w:cs="Arial"/>
          <w:b/>
          <w:shd w:val="clear" w:color="auto" w:fill="FFFFFF"/>
        </w:rPr>
        <w:t xml:space="preserve"> </w:t>
      </w:r>
      <w:r w:rsidRPr="00E019B1">
        <w:rPr>
          <w:rFonts w:ascii="Arial" w:hAnsi="Arial" w:cs="Arial"/>
          <w:shd w:val="clear" w:color="auto" w:fill="FFFFFF"/>
        </w:rPr>
        <w:t>industry post the COVID-19 pandemic, in that it gathered industry players and policymakers under one roof, to reflect, discuss and forge a way forward for the industry. It was held from 14-16 September 2022.</w:t>
      </w:r>
    </w:p>
    <w:p w:rsidR="00BD599B" w:rsidRPr="00E019B1" w:rsidRDefault="00BD599B" w:rsidP="00BD599B">
      <w:pPr>
        <w:spacing w:before="100" w:beforeAutospacing="1" w:after="100" w:afterAutospacing="1" w:line="360" w:lineRule="auto"/>
        <w:jc w:val="both"/>
        <w:rPr>
          <w:rFonts w:ascii="Arial" w:eastAsia="Arial" w:hAnsi="Arial" w:cs="Arial"/>
          <w:b/>
        </w:rPr>
      </w:pPr>
    </w:p>
    <w:sectPr w:rsidR="00BD599B" w:rsidRPr="00E019B1"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ADB37AD"/>
    <w:multiLevelType w:val="hybridMultilevel"/>
    <w:tmpl w:val="59DA9938"/>
    <w:lvl w:ilvl="0" w:tplc="DAB60BF6">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3">
    <w:nsid w:val="16BB46BF"/>
    <w:multiLevelType w:val="hybridMultilevel"/>
    <w:tmpl w:val="57443C6A"/>
    <w:lvl w:ilvl="0" w:tplc="ADE4983E">
      <w:start w:val="3"/>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E3703"/>
    <w:multiLevelType w:val="hybridMultilevel"/>
    <w:tmpl w:val="4056AEB2"/>
    <w:lvl w:ilvl="0" w:tplc="CC5C8290">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5717EA"/>
    <w:multiLevelType w:val="hybridMultilevel"/>
    <w:tmpl w:val="65026D42"/>
    <w:lvl w:ilvl="0" w:tplc="165C1820">
      <w:start w:val="1"/>
      <w:numFmt w:val="lowerLetter"/>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13"/>
  </w:num>
  <w:num w:numId="4">
    <w:abstractNumId w:val="15"/>
  </w:num>
  <w:num w:numId="5">
    <w:abstractNumId w:val="7"/>
  </w:num>
  <w:num w:numId="6">
    <w:abstractNumId w:val="8"/>
  </w:num>
  <w:num w:numId="7">
    <w:abstractNumId w:val="5"/>
  </w:num>
  <w:num w:numId="8">
    <w:abstractNumId w:val="12"/>
  </w:num>
  <w:num w:numId="9">
    <w:abstractNumId w:val="18"/>
  </w:num>
  <w:num w:numId="10">
    <w:abstractNumId w:val="11"/>
  </w:num>
  <w:num w:numId="11">
    <w:abstractNumId w:val="16"/>
  </w:num>
  <w:num w:numId="12">
    <w:abstractNumId w:val="14"/>
  </w:num>
  <w:num w:numId="13">
    <w:abstractNumId w:val="9"/>
  </w:num>
  <w:num w:numId="14">
    <w:abstractNumId w:val="2"/>
  </w:num>
  <w:num w:numId="15">
    <w:abstractNumId w:val="6"/>
  </w:num>
  <w:num w:numId="16">
    <w:abstractNumId w:val="19"/>
  </w:num>
  <w:num w:numId="17">
    <w:abstractNumId w:val="3"/>
  </w:num>
  <w:num w:numId="18">
    <w:abstractNumId w:val="17"/>
  </w:num>
  <w:num w:numId="19">
    <w:abstractNumId w:val="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35D5F"/>
    <w:rsid w:val="00044F85"/>
    <w:rsid w:val="00052C92"/>
    <w:rsid w:val="0007664C"/>
    <w:rsid w:val="00086505"/>
    <w:rsid w:val="00092CD8"/>
    <w:rsid w:val="000A2857"/>
    <w:rsid w:val="000E6C24"/>
    <w:rsid w:val="00107C01"/>
    <w:rsid w:val="00126BB3"/>
    <w:rsid w:val="001309C7"/>
    <w:rsid w:val="00131C9C"/>
    <w:rsid w:val="00132355"/>
    <w:rsid w:val="00134FEC"/>
    <w:rsid w:val="0016603A"/>
    <w:rsid w:val="001779BE"/>
    <w:rsid w:val="00187E0B"/>
    <w:rsid w:val="001B3EC4"/>
    <w:rsid w:val="001C2DD6"/>
    <w:rsid w:val="001F38FB"/>
    <w:rsid w:val="00206843"/>
    <w:rsid w:val="002472F1"/>
    <w:rsid w:val="00247495"/>
    <w:rsid w:val="002628E5"/>
    <w:rsid w:val="00277EB5"/>
    <w:rsid w:val="0028673A"/>
    <w:rsid w:val="002B00D9"/>
    <w:rsid w:val="002B0C30"/>
    <w:rsid w:val="002C1241"/>
    <w:rsid w:val="002C1934"/>
    <w:rsid w:val="002C194D"/>
    <w:rsid w:val="002C4CF1"/>
    <w:rsid w:val="002E06F3"/>
    <w:rsid w:val="002E6F58"/>
    <w:rsid w:val="002F457C"/>
    <w:rsid w:val="002F47F7"/>
    <w:rsid w:val="00313390"/>
    <w:rsid w:val="00372672"/>
    <w:rsid w:val="003C7E3C"/>
    <w:rsid w:val="003D5222"/>
    <w:rsid w:val="003F1568"/>
    <w:rsid w:val="003F557A"/>
    <w:rsid w:val="0046365E"/>
    <w:rsid w:val="004B0B70"/>
    <w:rsid w:val="004B2B71"/>
    <w:rsid w:val="004D16A8"/>
    <w:rsid w:val="004E6198"/>
    <w:rsid w:val="004E7020"/>
    <w:rsid w:val="004F6246"/>
    <w:rsid w:val="00501B14"/>
    <w:rsid w:val="00534306"/>
    <w:rsid w:val="005447FB"/>
    <w:rsid w:val="00561E9A"/>
    <w:rsid w:val="005677A3"/>
    <w:rsid w:val="00570A69"/>
    <w:rsid w:val="00576770"/>
    <w:rsid w:val="00586D48"/>
    <w:rsid w:val="00591300"/>
    <w:rsid w:val="005A08A8"/>
    <w:rsid w:val="005A4034"/>
    <w:rsid w:val="005E2679"/>
    <w:rsid w:val="005E6B8F"/>
    <w:rsid w:val="0060038E"/>
    <w:rsid w:val="00606334"/>
    <w:rsid w:val="0063201E"/>
    <w:rsid w:val="00657E00"/>
    <w:rsid w:val="006701DC"/>
    <w:rsid w:val="006739C4"/>
    <w:rsid w:val="00680C56"/>
    <w:rsid w:val="00691F4E"/>
    <w:rsid w:val="006B064C"/>
    <w:rsid w:val="006B6B51"/>
    <w:rsid w:val="006E0080"/>
    <w:rsid w:val="006E4750"/>
    <w:rsid w:val="006F4706"/>
    <w:rsid w:val="007001FC"/>
    <w:rsid w:val="00715DEE"/>
    <w:rsid w:val="00753F38"/>
    <w:rsid w:val="007767A1"/>
    <w:rsid w:val="007845FC"/>
    <w:rsid w:val="007B1019"/>
    <w:rsid w:val="007E06B2"/>
    <w:rsid w:val="007F718C"/>
    <w:rsid w:val="00807406"/>
    <w:rsid w:val="00810D34"/>
    <w:rsid w:val="00812970"/>
    <w:rsid w:val="00822849"/>
    <w:rsid w:val="008254C7"/>
    <w:rsid w:val="008614A1"/>
    <w:rsid w:val="00861DC3"/>
    <w:rsid w:val="00883032"/>
    <w:rsid w:val="008B49E6"/>
    <w:rsid w:val="008C28EB"/>
    <w:rsid w:val="008D578B"/>
    <w:rsid w:val="008E3046"/>
    <w:rsid w:val="008F1628"/>
    <w:rsid w:val="0090125D"/>
    <w:rsid w:val="009013F5"/>
    <w:rsid w:val="0090745B"/>
    <w:rsid w:val="00921CDF"/>
    <w:rsid w:val="00922938"/>
    <w:rsid w:val="00925D24"/>
    <w:rsid w:val="00941B5D"/>
    <w:rsid w:val="00944973"/>
    <w:rsid w:val="009603C1"/>
    <w:rsid w:val="00960F1C"/>
    <w:rsid w:val="00981280"/>
    <w:rsid w:val="009C5FB6"/>
    <w:rsid w:val="00A153C9"/>
    <w:rsid w:val="00A15D10"/>
    <w:rsid w:val="00A336A0"/>
    <w:rsid w:val="00A41BD2"/>
    <w:rsid w:val="00A531ED"/>
    <w:rsid w:val="00A6252B"/>
    <w:rsid w:val="00A731DA"/>
    <w:rsid w:val="00A9681F"/>
    <w:rsid w:val="00AD3304"/>
    <w:rsid w:val="00AE4CDC"/>
    <w:rsid w:val="00B00DFA"/>
    <w:rsid w:val="00B02F9B"/>
    <w:rsid w:val="00B156CE"/>
    <w:rsid w:val="00B34E26"/>
    <w:rsid w:val="00B57055"/>
    <w:rsid w:val="00B64F66"/>
    <w:rsid w:val="00B7568A"/>
    <w:rsid w:val="00B7739F"/>
    <w:rsid w:val="00BA0787"/>
    <w:rsid w:val="00BB3EF4"/>
    <w:rsid w:val="00BB45A7"/>
    <w:rsid w:val="00BC0C4F"/>
    <w:rsid w:val="00BC43CC"/>
    <w:rsid w:val="00BD551A"/>
    <w:rsid w:val="00BD599B"/>
    <w:rsid w:val="00BF784C"/>
    <w:rsid w:val="00C24899"/>
    <w:rsid w:val="00C71375"/>
    <w:rsid w:val="00C72270"/>
    <w:rsid w:val="00CA0772"/>
    <w:rsid w:val="00CA148B"/>
    <w:rsid w:val="00D02ABF"/>
    <w:rsid w:val="00D05BFA"/>
    <w:rsid w:val="00D14DF0"/>
    <w:rsid w:val="00D16EAE"/>
    <w:rsid w:val="00D2463A"/>
    <w:rsid w:val="00D47287"/>
    <w:rsid w:val="00D55D18"/>
    <w:rsid w:val="00D562F1"/>
    <w:rsid w:val="00D76BC5"/>
    <w:rsid w:val="00DA61A5"/>
    <w:rsid w:val="00DB42D0"/>
    <w:rsid w:val="00DC2F39"/>
    <w:rsid w:val="00DE1F4A"/>
    <w:rsid w:val="00E00D91"/>
    <w:rsid w:val="00E019B1"/>
    <w:rsid w:val="00E053F3"/>
    <w:rsid w:val="00E10CDD"/>
    <w:rsid w:val="00E63081"/>
    <w:rsid w:val="00E76623"/>
    <w:rsid w:val="00EA1950"/>
    <w:rsid w:val="00EB50B1"/>
    <w:rsid w:val="00EC46E9"/>
    <w:rsid w:val="00ED1221"/>
    <w:rsid w:val="00EE0191"/>
    <w:rsid w:val="00EF7097"/>
    <w:rsid w:val="00F062BE"/>
    <w:rsid w:val="00F06C05"/>
    <w:rsid w:val="00F072D1"/>
    <w:rsid w:val="00F20EA0"/>
    <w:rsid w:val="00F21E06"/>
    <w:rsid w:val="00F44916"/>
    <w:rsid w:val="00F45E26"/>
    <w:rsid w:val="00F67911"/>
    <w:rsid w:val="00F94923"/>
    <w:rsid w:val="00F979BA"/>
    <w:rsid w:val="00FA6D80"/>
    <w:rsid w:val="00FB2958"/>
    <w:rsid w:val="00FB5A8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6334"/>
  </w:style>
  <w:style w:type="paragraph" w:styleId="Heading1">
    <w:name w:val="heading 1"/>
    <w:basedOn w:val="Normal"/>
    <w:next w:val="Normal"/>
    <w:rsid w:val="00606334"/>
    <w:pPr>
      <w:keepNext/>
      <w:jc w:val="both"/>
      <w:outlineLvl w:val="0"/>
    </w:pPr>
    <w:rPr>
      <w:b/>
      <w:sz w:val="36"/>
      <w:szCs w:val="36"/>
    </w:rPr>
  </w:style>
  <w:style w:type="paragraph" w:styleId="Heading2">
    <w:name w:val="heading 2"/>
    <w:basedOn w:val="Normal"/>
    <w:next w:val="Normal"/>
    <w:rsid w:val="00606334"/>
    <w:pPr>
      <w:keepNext/>
      <w:jc w:val="both"/>
      <w:outlineLvl w:val="1"/>
    </w:pPr>
    <w:rPr>
      <w:i/>
      <w:sz w:val="36"/>
      <w:szCs w:val="36"/>
    </w:rPr>
  </w:style>
  <w:style w:type="paragraph" w:styleId="Heading3">
    <w:name w:val="heading 3"/>
    <w:basedOn w:val="Normal"/>
    <w:next w:val="Normal"/>
    <w:rsid w:val="00606334"/>
    <w:pPr>
      <w:keepNext/>
      <w:keepLines/>
      <w:spacing w:before="280" w:after="80"/>
      <w:outlineLvl w:val="2"/>
    </w:pPr>
    <w:rPr>
      <w:b/>
      <w:sz w:val="28"/>
      <w:szCs w:val="28"/>
    </w:rPr>
  </w:style>
  <w:style w:type="paragraph" w:styleId="Heading4">
    <w:name w:val="heading 4"/>
    <w:basedOn w:val="Normal"/>
    <w:next w:val="Normal"/>
    <w:rsid w:val="00606334"/>
    <w:pPr>
      <w:keepNext/>
      <w:keepLines/>
      <w:spacing w:before="240" w:after="40"/>
      <w:outlineLvl w:val="3"/>
    </w:pPr>
    <w:rPr>
      <w:b/>
    </w:rPr>
  </w:style>
  <w:style w:type="paragraph" w:styleId="Heading5">
    <w:name w:val="heading 5"/>
    <w:basedOn w:val="Normal"/>
    <w:next w:val="Normal"/>
    <w:rsid w:val="00606334"/>
    <w:pPr>
      <w:keepNext/>
      <w:keepLines/>
      <w:spacing w:before="220" w:after="40"/>
      <w:outlineLvl w:val="4"/>
    </w:pPr>
    <w:rPr>
      <w:b/>
      <w:sz w:val="22"/>
      <w:szCs w:val="22"/>
    </w:rPr>
  </w:style>
  <w:style w:type="paragraph" w:styleId="Heading6">
    <w:name w:val="heading 6"/>
    <w:basedOn w:val="Normal"/>
    <w:next w:val="Normal"/>
    <w:rsid w:val="00606334"/>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06334"/>
    <w:pPr>
      <w:jc w:val="center"/>
    </w:pPr>
    <w:rPr>
      <w:rFonts w:ascii="Arial" w:eastAsia="Arial" w:hAnsi="Arial" w:cs="Arial"/>
      <w:b/>
      <w:color w:val="000000"/>
    </w:rPr>
  </w:style>
  <w:style w:type="paragraph" w:styleId="Subtitle">
    <w:name w:val="Subtitle"/>
    <w:basedOn w:val="Normal"/>
    <w:next w:val="Normal"/>
    <w:rsid w:val="00606334"/>
    <w:pPr>
      <w:keepNext/>
      <w:keepLines/>
      <w:spacing w:before="360" w:after="80"/>
    </w:pPr>
    <w:rPr>
      <w:rFonts w:ascii="Georgia" w:eastAsia="Georgia" w:hAnsi="Georgia" w:cs="Georgia"/>
      <w:i/>
      <w:color w:val="666666"/>
      <w:sz w:val="48"/>
      <w:szCs w:val="48"/>
    </w:rPr>
  </w:style>
  <w:style w:type="table" w:customStyle="1" w:styleId="a">
    <w:basedOn w:val="TableNormal"/>
    <w:rsid w:val="00606334"/>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character" w:styleId="Strong">
    <w:name w:val="Strong"/>
    <w:basedOn w:val="DefaultParagraphFont"/>
    <w:uiPriority w:val="22"/>
    <w:qFormat/>
    <w:rsid w:val="005A4034"/>
    <w:rPr>
      <w:b/>
      <w:bCs/>
    </w:rPr>
  </w:style>
  <w:style w:type="table" w:customStyle="1" w:styleId="TableGrid1">
    <w:name w:val="Table Grid1"/>
    <w:basedOn w:val="TableNormal"/>
    <w:next w:val="TableGrid"/>
    <w:uiPriority w:val="39"/>
    <w:rsid w:val="002867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01EA-657E-4130-AF28-3CCC5C09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2022-11-10T07:27:00Z</cp:lastPrinted>
  <dcterms:created xsi:type="dcterms:W3CDTF">2022-12-01T04:07:00Z</dcterms:created>
  <dcterms:modified xsi:type="dcterms:W3CDTF">2022-12-01T04:07:00Z</dcterms:modified>
</cp:coreProperties>
</file>