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7041BC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NUMBER</w:t>
      </w:r>
      <w:r w:rsidR="001B0917" w:rsidRPr="001B0917">
        <w:rPr>
          <w:rFonts w:ascii="Arial" w:hAnsi="Arial" w:cs="Arial"/>
          <w:b/>
          <w:sz w:val="22"/>
          <w:szCs w:val="22"/>
        </w:rPr>
        <w:t>:</w:t>
      </w:r>
      <w:r w:rsidRPr="001B0917">
        <w:rPr>
          <w:rFonts w:ascii="Arial" w:hAnsi="Arial" w:cs="Arial"/>
          <w:b/>
          <w:sz w:val="22"/>
          <w:szCs w:val="22"/>
        </w:rPr>
        <w:t xml:space="preserve"> </w:t>
      </w:r>
      <w:r w:rsidR="007041BC" w:rsidRPr="007041BC">
        <w:rPr>
          <w:rFonts w:ascii="Arial" w:hAnsi="Arial" w:cs="Arial"/>
          <w:b/>
          <w:sz w:val="22"/>
          <w:szCs w:val="22"/>
        </w:rPr>
        <w:t>3528</w:t>
      </w:r>
      <w:r w:rsidR="00AD00CE" w:rsidRPr="007041BC">
        <w:rPr>
          <w:rFonts w:ascii="Arial" w:hAnsi="Arial" w:cs="Arial"/>
          <w:b/>
          <w:sz w:val="22"/>
          <w:szCs w:val="22"/>
        </w:rPr>
        <w:t xml:space="preserve"> [NW</w:t>
      </w:r>
      <w:r w:rsidR="007041BC" w:rsidRPr="007041BC">
        <w:rPr>
          <w:rFonts w:ascii="Arial" w:hAnsi="Arial" w:cs="Arial"/>
          <w:b/>
          <w:sz w:val="22"/>
          <w:szCs w:val="22"/>
        </w:rPr>
        <w:t>4193</w:t>
      </w:r>
      <w:r w:rsidR="00AD00CE" w:rsidRPr="007041BC">
        <w:rPr>
          <w:rFonts w:ascii="Arial" w:hAnsi="Arial" w:cs="Arial"/>
          <w:b/>
          <w:sz w:val="22"/>
          <w:szCs w:val="22"/>
        </w:rPr>
        <w:t>E]</w:t>
      </w:r>
    </w:p>
    <w:p w:rsidR="00C312EA" w:rsidRPr="007041BC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41BC">
        <w:rPr>
          <w:rFonts w:ascii="Arial" w:hAnsi="Arial" w:cs="Arial"/>
          <w:b/>
          <w:sz w:val="22"/>
          <w:szCs w:val="22"/>
        </w:rPr>
        <w:t xml:space="preserve">DATE OF PUBLICATION: </w:t>
      </w:r>
      <w:r w:rsidR="007041BC" w:rsidRPr="007041BC">
        <w:rPr>
          <w:rFonts w:ascii="Arial" w:hAnsi="Arial" w:cs="Arial"/>
          <w:b/>
          <w:sz w:val="22"/>
          <w:szCs w:val="22"/>
        </w:rPr>
        <w:t>11 SEPTEMBER 2015</w:t>
      </w:r>
    </w:p>
    <w:p w:rsidR="0062770E" w:rsidRPr="007041BC" w:rsidRDefault="0062770E" w:rsidP="007041BC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7041BC" w:rsidRPr="007041BC" w:rsidRDefault="007041BC" w:rsidP="007041BC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7041BC">
        <w:rPr>
          <w:rFonts w:ascii="Arial" w:hAnsi="Arial" w:cs="Arial"/>
          <w:b/>
          <w:sz w:val="22"/>
          <w:szCs w:val="22"/>
          <w:lang w:val="af-ZA"/>
        </w:rPr>
        <w:t>3528.</w:t>
      </w:r>
      <w:r w:rsidRPr="007041BC">
        <w:rPr>
          <w:rFonts w:ascii="Arial" w:hAnsi="Arial" w:cs="Arial"/>
          <w:b/>
          <w:sz w:val="22"/>
          <w:szCs w:val="22"/>
          <w:lang w:val="af-ZA"/>
        </w:rPr>
        <w:tab/>
        <w:t>Mr C D Matsepe (DA) to ask the Minister of Finance:</w:t>
      </w:r>
    </w:p>
    <w:p w:rsidR="007041BC" w:rsidRPr="007041BC" w:rsidRDefault="007041BC" w:rsidP="007041BC">
      <w:pPr>
        <w:spacing w:before="100" w:beforeAutospacing="1" w:after="100" w:afterAutospacing="1" w:line="276" w:lineRule="auto"/>
        <w:ind w:left="720" w:hanging="720"/>
        <w:jc w:val="both"/>
        <w:rPr>
          <w:rFonts w:ascii="Arial" w:hAnsi="Arial" w:cs="Arial"/>
          <w:sz w:val="22"/>
          <w:szCs w:val="22"/>
          <w:lang w:val="en-ZA"/>
        </w:rPr>
      </w:pPr>
      <w:r w:rsidRPr="007041BC">
        <w:rPr>
          <w:rFonts w:ascii="Arial" w:hAnsi="Arial" w:cs="Arial"/>
          <w:sz w:val="22"/>
          <w:szCs w:val="22"/>
          <w:lang w:val="en-GB"/>
        </w:rPr>
        <w:t>(1)</w:t>
      </w:r>
      <w:r w:rsidRPr="007041BC">
        <w:rPr>
          <w:rFonts w:ascii="Arial" w:hAnsi="Arial" w:cs="Arial"/>
          <w:sz w:val="22"/>
          <w:szCs w:val="22"/>
          <w:lang w:val="en-GB"/>
        </w:rPr>
        <w:tab/>
      </w:r>
      <w:r w:rsidRPr="007041BC">
        <w:rPr>
          <w:rFonts w:ascii="Arial" w:hAnsi="Arial" w:cs="Arial"/>
          <w:sz w:val="22"/>
          <w:szCs w:val="22"/>
          <w:lang w:val="en-ZA"/>
        </w:rPr>
        <w:t xml:space="preserve">Whether an audit committee was in place in each (a) metropolitan </w:t>
      </w:r>
      <w:r w:rsidRPr="007041BC">
        <w:rPr>
          <w:rFonts w:ascii="Arial" w:hAnsi="Arial" w:cs="Arial"/>
          <w:sz w:val="22"/>
          <w:szCs w:val="22"/>
          <w:lang w:val="en-GB"/>
        </w:rPr>
        <w:t>municipality</w:t>
      </w:r>
      <w:r w:rsidRPr="007041BC">
        <w:rPr>
          <w:rFonts w:ascii="Arial" w:hAnsi="Arial" w:cs="Arial"/>
          <w:sz w:val="22"/>
          <w:szCs w:val="22"/>
          <w:lang w:val="en-ZA"/>
        </w:rPr>
        <w:t xml:space="preserve"> and (b) local municipality that received a disclaimer or adverse audit opinion for the 2013-14 financial year; if not, why not; if </w:t>
      </w:r>
      <w:r w:rsidRPr="007041BC">
        <w:rPr>
          <w:rFonts w:ascii="Arial" w:hAnsi="Arial" w:cs="Arial"/>
          <w:sz w:val="22"/>
          <w:szCs w:val="22"/>
          <w:lang w:val="en-GB"/>
        </w:rPr>
        <w:t>so</w:t>
      </w:r>
      <w:r w:rsidRPr="007041BC">
        <w:rPr>
          <w:rFonts w:ascii="Arial" w:hAnsi="Arial" w:cs="Arial"/>
          <w:sz w:val="22"/>
          <w:szCs w:val="22"/>
          <w:lang w:val="en-ZA"/>
        </w:rPr>
        <w:t xml:space="preserve">, (i) what are the qualifications and relevant experience of each member of </w:t>
      </w:r>
      <w:r w:rsidRPr="007041BC">
        <w:rPr>
          <w:rFonts w:ascii="Arial" w:hAnsi="Arial" w:cs="Arial"/>
          <w:sz w:val="22"/>
          <w:szCs w:val="22"/>
          <w:lang w:val="en-GB"/>
        </w:rPr>
        <w:t>each</w:t>
      </w:r>
      <w:r w:rsidRPr="007041BC">
        <w:rPr>
          <w:rFonts w:ascii="Arial" w:hAnsi="Arial" w:cs="Arial"/>
          <w:sz w:val="22"/>
          <w:szCs w:val="22"/>
          <w:lang w:val="en-ZA"/>
        </w:rPr>
        <w:t xml:space="preserve"> audit </w:t>
      </w:r>
      <w:r w:rsidRPr="007041BC">
        <w:rPr>
          <w:rFonts w:ascii="Arial" w:hAnsi="Arial" w:cs="Arial"/>
          <w:sz w:val="22"/>
          <w:szCs w:val="22"/>
          <w:lang w:val="en-GB"/>
        </w:rPr>
        <w:t>committee</w:t>
      </w:r>
      <w:r w:rsidRPr="007041BC">
        <w:rPr>
          <w:rFonts w:ascii="Arial" w:hAnsi="Arial" w:cs="Arial"/>
          <w:sz w:val="22"/>
          <w:szCs w:val="22"/>
          <w:lang w:val="en-ZA"/>
        </w:rPr>
        <w:t xml:space="preserve"> and (ii) how many times did the specified committee meet in the specified financial year;</w:t>
      </w:r>
    </w:p>
    <w:p w:rsidR="007041BC" w:rsidRPr="007041BC" w:rsidRDefault="007041BC" w:rsidP="007041BC">
      <w:pPr>
        <w:spacing w:before="100" w:beforeAutospacing="1" w:after="100" w:afterAutospacing="1" w:line="276" w:lineRule="auto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7041BC">
        <w:rPr>
          <w:rFonts w:ascii="Arial" w:hAnsi="Arial" w:cs="Arial"/>
          <w:sz w:val="22"/>
          <w:szCs w:val="22"/>
          <w:lang w:val="en-GB"/>
        </w:rPr>
        <w:t>(2)</w:t>
      </w:r>
      <w:r w:rsidRPr="007041BC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7041BC">
        <w:rPr>
          <w:rFonts w:ascii="Arial" w:hAnsi="Arial" w:cs="Arial"/>
          <w:sz w:val="22"/>
          <w:szCs w:val="22"/>
          <w:lang w:val="en-GB"/>
        </w:rPr>
        <w:t>were</w:t>
      </w:r>
      <w:proofErr w:type="gramEnd"/>
      <w:r w:rsidRPr="007041BC">
        <w:rPr>
          <w:rFonts w:ascii="Arial" w:hAnsi="Arial" w:cs="Arial"/>
          <w:sz w:val="22"/>
          <w:szCs w:val="22"/>
          <w:lang w:val="en-ZA"/>
        </w:rPr>
        <w:t xml:space="preserve"> any reports from each specified committee tabled and considered in each relevant </w:t>
      </w:r>
      <w:r w:rsidRPr="007041BC">
        <w:rPr>
          <w:rFonts w:ascii="Arial" w:hAnsi="Arial" w:cs="Arial"/>
          <w:sz w:val="22"/>
          <w:szCs w:val="22"/>
          <w:lang w:val="en-GB"/>
        </w:rPr>
        <w:t>municipal</w:t>
      </w:r>
      <w:r w:rsidRPr="007041BC">
        <w:rPr>
          <w:rFonts w:ascii="Arial" w:hAnsi="Arial" w:cs="Arial"/>
          <w:sz w:val="22"/>
          <w:szCs w:val="22"/>
          <w:lang w:val="en-ZA"/>
        </w:rPr>
        <w:t xml:space="preserve"> council; if not, why not</w:t>
      </w:r>
      <w:r w:rsidRPr="007041BC">
        <w:rPr>
          <w:rFonts w:ascii="Arial" w:hAnsi="Arial" w:cs="Arial"/>
          <w:sz w:val="22"/>
          <w:szCs w:val="22"/>
          <w:lang w:val="en-GB"/>
        </w:rPr>
        <w:t>?</w:t>
      </w:r>
      <w:r w:rsidRPr="007041BC">
        <w:rPr>
          <w:rFonts w:ascii="Arial" w:hAnsi="Arial" w:cs="Arial"/>
          <w:sz w:val="22"/>
          <w:szCs w:val="22"/>
          <w:lang w:val="en-GB"/>
        </w:rPr>
        <w:tab/>
      </w:r>
    </w:p>
    <w:p w:rsidR="007041BC" w:rsidRPr="007041BC" w:rsidRDefault="007041BC" w:rsidP="007041BC">
      <w:pPr>
        <w:spacing w:before="100" w:beforeAutospacing="1" w:after="100" w:afterAutospacing="1" w:line="276" w:lineRule="auto"/>
        <w:ind w:left="720" w:hanging="720"/>
        <w:jc w:val="both"/>
        <w:rPr>
          <w:rFonts w:ascii="Arial" w:hAnsi="Arial" w:cs="Arial"/>
          <w:sz w:val="22"/>
          <w:szCs w:val="22"/>
          <w:lang w:val="en-ZA"/>
        </w:rPr>
      </w:pPr>
      <w:r w:rsidRPr="007041BC">
        <w:rPr>
          <w:rFonts w:ascii="Arial" w:hAnsi="Arial" w:cs="Arial"/>
          <w:sz w:val="22"/>
          <w:szCs w:val="22"/>
          <w:lang w:val="en-GB"/>
        </w:rPr>
        <w:tab/>
      </w:r>
      <w:r w:rsidRPr="007041BC">
        <w:rPr>
          <w:rFonts w:ascii="Arial" w:hAnsi="Arial" w:cs="Arial"/>
          <w:sz w:val="22"/>
          <w:szCs w:val="22"/>
          <w:lang w:val="en-GB"/>
        </w:rPr>
        <w:tab/>
      </w:r>
      <w:r w:rsidRPr="007041BC">
        <w:rPr>
          <w:rFonts w:ascii="Arial" w:hAnsi="Arial" w:cs="Arial"/>
          <w:sz w:val="22"/>
          <w:szCs w:val="22"/>
          <w:lang w:val="en-GB"/>
        </w:rPr>
        <w:tab/>
      </w:r>
      <w:r w:rsidRPr="007041BC">
        <w:rPr>
          <w:rFonts w:ascii="Arial" w:hAnsi="Arial" w:cs="Arial"/>
          <w:sz w:val="22"/>
          <w:szCs w:val="22"/>
          <w:lang w:val="en-GB"/>
        </w:rPr>
        <w:tab/>
      </w:r>
      <w:r w:rsidRPr="007041BC">
        <w:rPr>
          <w:rFonts w:ascii="Arial" w:hAnsi="Arial" w:cs="Arial"/>
          <w:sz w:val="22"/>
          <w:szCs w:val="22"/>
          <w:lang w:val="en-GB"/>
        </w:rPr>
        <w:tab/>
      </w:r>
      <w:r w:rsidRPr="007041BC">
        <w:rPr>
          <w:rFonts w:ascii="Arial" w:hAnsi="Arial" w:cs="Arial"/>
          <w:sz w:val="22"/>
          <w:szCs w:val="22"/>
          <w:lang w:val="en-GB"/>
        </w:rPr>
        <w:tab/>
      </w:r>
      <w:r w:rsidRPr="007041BC">
        <w:rPr>
          <w:rFonts w:ascii="Arial" w:hAnsi="Arial" w:cs="Arial"/>
          <w:sz w:val="22"/>
          <w:szCs w:val="22"/>
          <w:lang w:val="en-GB"/>
        </w:rPr>
        <w:tab/>
      </w:r>
      <w:r w:rsidRPr="007041BC">
        <w:rPr>
          <w:rFonts w:ascii="Arial" w:hAnsi="Arial" w:cs="Arial"/>
          <w:sz w:val="22"/>
          <w:szCs w:val="22"/>
          <w:lang w:val="en-GB"/>
        </w:rPr>
        <w:tab/>
      </w:r>
      <w:r w:rsidRPr="007041BC">
        <w:rPr>
          <w:rFonts w:ascii="Arial" w:hAnsi="Arial" w:cs="Arial"/>
          <w:sz w:val="22"/>
          <w:szCs w:val="22"/>
          <w:lang w:val="en-GB"/>
        </w:rPr>
        <w:tab/>
      </w:r>
      <w:r w:rsidRPr="007041BC">
        <w:rPr>
          <w:rFonts w:ascii="Arial" w:hAnsi="Arial" w:cs="Arial"/>
          <w:sz w:val="22"/>
          <w:szCs w:val="22"/>
          <w:lang w:val="en-GB"/>
        </w:rPr>
        <w:tab/>
        <w:t>NW4193E</w:t>
      </w:r>
    </w:p>
    <w:p w:rsidR="001433AE" w:rsidRPr="001B0917" w:rsidRDefault="001433A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76511" w:rsidRDefault="00B5192F" w:rsidP="00176511">
      <w:pPr>
        <w:pStyle w:val="ListParagraph"/>
        <w:numPr>
          <w:ilvl w:val="0"/>
          <w:numId w:val="4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metropolitan municipality </w:t>
      </w:r>
      <w:r w:rsidRPr="00B5192F">
        <w:rPr>
          <w:rFonts w:ascii="Arial" w:hAnsi="Arial" w:cs="Arial"/>
          <w:sz w:val="22"/>
          <w:szCs w:val="22"/>
        </w:rPr>
        <w:t xml:space="preserve">received a disclaimer or adverse audit opinion for the </w:t>
      </w:r>
      <w:r w:rsidR="00A331B5">
        <w:rPr>
          <w:rFonts w:ascii="Arial" w:hAnsi="Arial" w:cs="Arial"/>
          <w:sz w:val="22"/>
          <w:szCs w:val="22"/>
        </w:rPr>
        <w:br/>
      </w:r>
      <w:r w:rsidRPr="00B5192F">
        <w:rPr>
          <w:rFonts w:ascii="Arial" w:hAnsi="Arial" w:cs="Arial"/>
          <w:sz w:val="22"/>
          <w:szCs w:val="22"/>
        </w:rPr>
        <w:t>2013-14 financial year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176511" w:rsidRDefault="00176511" w:rsidP="00176511">
      <w:pPr>
        <w:pStyle w:val="ListParagraph"/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0B2F" w:rsidRDefault="00176511" w:rsidP="00176511">
      <w:pPr>
        <w:pStyle w:val="ListParagraph"/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480B2F">
        <w:rPr>
          <w:rFonts w:ascii="Arial" w:hAnsi="Arial" w:cs="Arial"/>
          <w:sz w:val="22"/>
          <w:szCs w:val="22"/>
        </w:rPr>
        <w:t>total of 58 municipalities (</w:t>
      </w:r>
      <w:r>
        <w:rPr>
          <w:rFonts w:ascii="Arial" w:hAnsi="Arial" w:cs="Arial"/>
          <w:sz w:val="22"/>
          <w:szCs w:val="22"/>
        </w:rPr>
        <w:t>names supplied in the attached spreadsheet</w:t>
      </w:r>
      <w:r w:rsidR="00480B2F">
        <w:rPr>
          <w:rFonts w:ascii="Arial" w:hAnsi="Arial" w:cs="Arial"/>
          <w:sz w:val="22"/>
          <w:szCs w:val="22"/>
        </w:rPr>
        <w:t>) had either a disclaimer or adverse audit opinion, as follows:</w:t>
      </w:r>
    </w:p>
    <w:p w:rsidR="00480B2F" w:rsidRDefault="00480B2F" w:rsidP="00800CD3">
      <w:pPr>
        <w:pStyle w:val="ListParagraph"/>
        <w:tabs>
          <w:tab w:val="left" w:pos="432"/>
          <w:tab w:val="left" w:pos="864"/>
        </w:tabs>
        <w:spacing w:line="276" w:lineRule="auto"/>
        <w:ind w:left="792" w:hanging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80B2F">
        <w:rPr>
          <w:rFonts w:ascii="Arial" w:hAnsi="Arial" w:cs="Arial"/>
          <w:b/>
          <w:sz w:val="22"/>
          <w:szCs w:val="22"/>
        </w:rPr>
        <w:t>District municipalities</w:t>
      </w:r>
      <w:r>
        <w:rPr>
          <w:rFonts w:ascii="Arial" w:hAnsi="Arial" w:cs="Arial"/>
          <w:sz w:val="22"/>
          <w:szCs w:val="22"/>
        </w:rPr>
        <w:t>: 5 disclaimer opinions and 1 adverse opinion</w:t>
      </w:r>
    </w:p>
    <w:p w:rsidR="00480B2F" w:rsidRDefault="00480B2F" w:rsidP="00800CD3">
      <w:pPr>
        <w:pStyle w:val="ListParagraph"/>
        <w:tabs>
          <w:tab w:val="left" w:pos="432"/>
          <w:tab w:val="left" w:pos="864"/>
        </w:tabs>
        <w:spacing w:line="276" w:lineRule="auto"/>
        <w:ind w:left="792" w:hanging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Local municipalities</w:t>
      </w:r>
      <w:r w:rsidRPr="00480B2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50 disclaimer opinions and 2 adverse opinions</w:t>
      </w:r>
    </w:p>
    <w:p w:rsidR="00B5192F" w:rsidRDefault="00B5192F" w:rsidP="00800CD3">
      <w:pPr>
        <w:pStyle w:val="ListParagraph"/>
        <w:tabs>
          <w:tab w:val="left" w:pos="432"/>
          <w:tab w:val="left" w:pos="864"/>
        </w:tabs>
        <w:spacing w:line="276" w:lineRule="auto"/>
        <w:ind w:left="792" w:hanging="79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46B4A" w:rsidRDefault="00B5192F" w:rsidP="00246B4A">
      <w:pPr>
        <w:pStyle w:val="ListParagraph"/>
        <w:tabs>
          <w:tab w:val="left" w:pos="432"/>
          <w:tab w:val="left" w:pos="864"/>
        </w:tabs>
        <w:spacing w:line="276" w:lineRule="auto"/>
        <w:ind w:left="792" w:hanging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46B4A">
        <w:rPr>
          <w:rFonts w:ascii="Arial" w:hAnsi="Arial" w:cs="Arial"/>
          <w:sz w:val="22"/>
          <w:szCs w:val="22"/>
        </w:rPr>
        <w:t xml:space="preserve">District and local municipalities fall within the oversight of Provincial Government hence not all the information needed to fully respond to this parliamentary question is held by the National Treasury. </w:t>
      </w:r>
      <w:r w:rsidR="009813DF">
        <w:rPr>
          <w:rFonts w:ascii="Arial" w:hAnsi="Arial" w:cs="Arial"/>
          <w:sz w:val="22"/>
          <w:szCs w:val="22"/>
        </w:rPr>
        <w:t xml:space="preserve"> </w:t>
      </w:r>
      <w:r w:rsidR="00246B4A">
        <w:rPr>
          <w:rFonts w:ascii="Arial" w:hAnsi="Arial" w:cs="Arial"/>
          <w:sz w:val="22"/>
          <w:szCs w:val="22"/>
        </w:rPr>
        <w:t xml:space="preserve">Enquiries with the respective Provincial Treasuries have revealed that they too do not keep all the information needed to dispose of this </w:t>
      </w:r>
      <w:r w:rsidR="009813DF">
        <w:rPr>
          <w:rFonts w:ascii="Arial" w:hAnsi="Arial" w:cs="Arial"/>
          <w:sz w:val="22"/>
          <w:szCs w:val="22"/>
        </w:rPr>
        <w:t xml:space="preserve">matter. </w:t>
      </w:r>
      <w:r w:rsidR="00246B4A">
        <w:rPr>
          <w:rFonts w:ascii="Arial" w:hAnsi="Arial" w:cs="Arial"/>
          <w:sz w:val="22"/>
          <w:szCs w:val="22"/>
        </w:rPr>
        <w:t xml:space="preserve">  </w:t>
      </w:r>
    </w:p>
    <w:p w:rsidR="00246B4A" w:rsidRDefault="00246B4A" w:rsidP="00246B4A">
      <w:pPr>
        <w:pStyle w:val="ListParagraph"/>
        <w:tabs>
          <w:tab w:val="left" w:pos="432"/>
          <w:tab w:val="left" w:pos="864"/>
        </w:tabs>
        <w:spacing w:line="276" w:lineRule="auto"/>
        <w:ind w:left="792" w:hanging="792"/>
        <w:jc w:val="both"/>
        <w:rPr>
          <w:rFonts w:ascii="Arial" w:hAnsi="Arial" w:cs="Arial"/>
          <w:sz w:val="22"/>
          <w:szCs w:val="22"/>
        </w:rPr>
      </w:pPr>
    </w:p>
    <w:p w:rsidR="009813DF" w:rsidRDefault="00246B4A" w:rsidP="00246B4A">
      <w:pPr>
        <w:pStyle w:val="ListParagraph"/>
        <w:tabs>
          <w:tab w:val="left" w:pos="432"/>
          <w:tab w:val="left" w:pos="864"/>
        </w:tabs>
        <w:spacing w:line="276" w:lineRule="auto"/>
        <w:ind w:left="792" w:hanging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13DF">
        <w:rPr>
          <w:rFonts w:ascii="Arial" w:hAnsi="Arial" w:cs="Arial"/>
          <w:sz w:val="22"/>
          <w:szCs w:val="22"/>
        </w:rPr>
        <w:t>In order to respond fully and properly, t</w:t>
      </w:r>
      <w:r>
        <w:rPr>
          <w:rFonts w:ascii="Arial" w:hAnsi="Arial" w:cs="Arial"/>
          <w:sz w:val="22"/>
          <w:szCs w:val="22"/>
        </w:rPr>
        <w:t xml:space="preserve">he National Treasury </w:t>
      </w:r>
      <w:r w:rsidRPr="00246B4A">
        <w:rPr>
          <w:rFonts w:ascii="Arial" w:hAnsi="Arial" w:cs="Arial"/>
          <w:sz w:val="22"/>
          <w:szCs w:val="22"/>
        </w:rPr>
        <w:t xml:space="preserve">requests </w:t>
      </w:r>
      <w:r>
        <w:rPr>
          <w:rFonts w:ascii="Arial" w:hAnsi="Arial" w:cs="Arial"/>
          <w:sz w:val="22"/>
          <w:szCs w:val="22"/>
        </w:rPr>
        <w:t xml:space="preserve">a period of 6-8 weeks </w:t>
      </w:r>
      <w:r w:rsidRPr="00246B4A">
        <w:rPr>
          <w:rFonts w:ascii="Arial" w:hAnsi="Arial" w:cs="Arial"/>
          <w:sz w:val="22"/>
          <w:szCs w:val="22"/>
        </w:rPr>
        <w:t xml:space="preserve">to </w:t>
      </w:r>
      <w:r w:rsidR="009813DF">
        <w:rPr>
          <w:rFonts w:ascii="Arial" w:hAnsi="Arial" w:cs="Arial"/>
          <w:sz w:val="22"/>
          <w:szCs w:val="22"/>
        </w:rPr>
        <w:t xml:space="preserve">further </w:t>
      </w:r>
      <w:r>
        <w:rPr>
          <w:rFonts w:ascii="Arial" w:hAnsi="Arial" w:cs="Arial"/>
          <w:sz w:val="22"/>
          <w:szCs w:val="22"/>
        </w:rPr>
        <w:t>consult with the respective Provincial Treasuries</w:t>
      </w:r>
      <w:r w:rsidR="009813DF">
        <w:rPr>
          <w:rFonts w:ascii="Arial" w:hAnsi="Arial" w:cs="Arial"/>
          <w:sz w:val="22"/>
          <w:szCs w:val="22"/>
        </w:rPr>
        <w:t xml:space="preserve"> and the </w:t>
      </w:r>
      <w:r>
        <w:rPr>
          <w:rFonts w:ascii="Arial" w:hAnsi="Arial" w:cs="Arial"/>
          <w:sz w:val="22"/>
          <w:szCs w:val="22"/>
        </w:rPr>
        <w:t xml:space="preserve">affected municipalities </w:t>
      </w:r>
      <w:r w:rsidR="009813DF">
        <w:rPr>
          <w:rFonts w:ascii="Arial" w:hAnsi="Arial" w:cs="Arial"/>
          <w:sz w:val="22"/>
          <w:szCs w:val="22"/>
        </w:rPr>
        <w:t xml:space="preserve">to </w:t>
      </w:r>
      <w:r w:rsidRPr="00246B4A">
        <w:rPr>
          <w:rFonts w:ascii="Arial" w:hAnsi="Arial" w:cs="Arial"/>
          <w:sz w:val="22"/>
          <w:szCs w:val="22"/>
        </w:rPr>
        <w:t xml:space="preserve">collect </w:t>
      </w:r>
      <w:r w:rsidR="009813DF">
        <w:rPr>
          <w:rFonts w:ascii="Arial" w:hAnsi="Arial" w:cs="Arial"/>
          <w:sz w:val="22"/>
          <w:szCs w:val="22"/>
        </w:rPr>
        <w:t>and analyse the o</w:t>
      </w:r>
      <w:r w:rsidRPr="00246B4A">
        <w:rPr>
          <w:rFonts w:ascii="Arial" w:hAnsi="Arial" w:cs="Arial"/>
          <w:sz w:val="22"/>
          <w:szCs w:val="22"/>
        </w:rPr>
        <w:t>utstanding information</w:t>
      </w:r>
      <w:r w:rsidR="009813DF">
        <w:rPr>
          <w:rFonts w:ascii="Arial" w:hAnsi="Arial" w:cs="Arial"/>
          <w:sz w:val="22"/>
          <w:szCs w:val="22"/>
        </w:rPr>
        <w:t xml:space="preserve">.  </w:t>
      </w:r>
    </w:p>
    <w:p w:rsidR="009813DF" w:rsidRDefault="009813DF" w:rsidP="00246B4A">
      <w:pPr>
        <w:pStyle w:val="ListParagraph"/>
        <w:tabs>
          <w:tab w:val="left" w:pos="432"/>
          <w:tab w:val="left" w:pos="864"/>
        </w:tabs>
        <w:spacing w:line="276" w:lineRule="auto"/>
        <w:ind w:left="792" w:hanging="792"/>
        <w:jc w:val="both"/>
        <w:rPr>
          <w:rFonts w:ascii="Arial" w:hAnsi="Arial" w:cs="Arial"/>
          <w:sz w:val="22"/>
          <w:szCs w:val="22"/>
        </w:rPr>
      </w:pPr>
    </w:p>
    <w:p w:rsidR="003546CB" w:rsidRDefault="009813DF" w:rsidP="00246B4A">
      <w:pPr>
        <w:pStyle w:val="ListParagraph"/>
        <w:tabs>
          <w:tab w:val="left" w:pos="432"/>
          <w:tab w:val="left" w:pos="864"/>
        </w:tabs>
        <w:spacing w:line="276" w:lineRule="auto"/>
        <w:ind w:left="792" w:hanging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 the interim, based on the information </w:t>
      </w:r>
      <w:r w:rsidR="003546CB">
        <w:rPr>
          <w:rFonts w:ascii="Arial" w:hAnsi="Arial" w:cs="Arial"/>
          <w:sz w:val="22"/>
          <w:szCs w:val="22"/>
        </w:rPr>
        <w:t>available to the National Treasury, a</w:t>
      </w:r>
      <w:r w:rsidR="00B5192F">
        <w:rPr>
          <w:rFonts w:ascii="Arial" w:hAnsi="Arial" w:cs="Arial"/>
          <w:sz w:val="22"/>
          <w:szCs w:val="22"/>
        </w:rPr>
        <w:t xml:space="preserve">ll 58 </w:t>
      </w:r>
      <w:r w:rsidR="00176511">
        <w:rPr>
          <w:rFonts w:ascii="Arial" w:hAnsi="Arial" w:cs="Arial"/>
          <w:sz w:val="22"/>
          <w:szCs w:val="22"/>
        </w:rPr>
        <w:t xml:space="preserve">affected </w:t>
      </w:r>
      <w:r w:rsidR="00D64989">
        <w:rPr>
          <w:rFonts w:ascii="Arial" w:hAnsi="Arial" w:cs="Arial"/>
          <w:sz w:val="22"/>
          <w:szCs w:val="22"/>
        </w:rPr>
        <w:t xml:space="preserve">municipalities </w:t>
      </w:r>
      <w:r w:rsidR="00B5192F">
        <w:rPr>
          <w:rFonts w:ascii="Arial" w:hAnsi="Arial" w:cs="Arial"/>
          <w:sz w:val="22"/>
          <w:szCs w:val="22"/>
        </w:rPr>
        <w:t>reported that they had audit committees in place</w:t>
      </w:r>
      <w:r w:rsidR="003546CB">
        <w:rPr>
          <w:rFonts w:ascii="Arial" w:hAnsi="Arial" w:cs="Arial"/>
          <w:sz w:val="22"/>
          <w:szCs w:val="22"/>
        </w:rPr>
        <w:t xml:space="preserve">.  Data on the audit committee meetings held during 2013-14 are shown in the graph below.  It should be noted that all municipalities that held less than four meetings are non-compliant with the MFMA.  </w:t>
      </w:r>
    </w:p>
    <w:p w:rsidR="003546CB" w:rsidRDefault="003546CB" w:rsidP="003546CB">
      <w:pPr>
        <w:pStyle w:val="ListParagraph"/>
        <w:tabs>
          <w:tab w:val="left" w:pos="432"/>
          <w:tab w:val="left" w:pos="864"/>
        </w:tabs>
        <w:spacing w:line="276" w:lineRule="auto"/>
        <w:ind w:left="792" w:hanging="792"/>
        <w:jc w:val="both"/>
        <w:rPr>
          <w:rFonts w:ascii="Arial" w:hAnsi="Arial" w:cs="Arial"/>
          <w:sz w:val="22"/>
          <w:szCs w:val="22"/>
        </w:rPr>
      </w:pPr>
    </w:p>
    <w:p w:rsidR="003546CB" w:rsidRDefault="003546CB" w:rsidP="003546CB">
      <w:pPr>
        <w:pStyle w:val="ListParagraph"/>
        <w:tabs>
          <w:tab w:val="left" w:pos="432"/>
          <w:tab w:val="left" w:pos="864"/>
        </w:tabs>
        <w:spacing w:line="276" w:lineRule="auto"/>
        <w:ind w:left="792" w:hanging="792"/>
        <w:jc w:val="both"/>
        <w:rPr>
          <w:rFonts w:ascii="Arial" w:hAnsi="Arial" w:cs="Arial"/>
          <w:sz w:val="22"/>
          <w:szCs w:val="22"/>
        </w:rPr>
      </w:pPr>
    </w:p>
    <w:p w:rsidR="00A331B5" w:rsidRDefault="003546CB" w:rsidP="00800CD3">
      <w:pPr>
        <w:pStyle w:val="ListParagraph"/>
        <w:tabs>
          <w:tab w:val="left" w:pos="432"/>
          <w:tab w:val="left" w:pos="864"/>
        </w:tabs>
        <w:spacing w:line="276" w:lineRule="auto"/>
        <w:ind w:left="792" w:hanging="792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n-ZA" w:eastAsia="en-ZA"/>
        </w:rPr>
        <w:lastRenderedPageBreak/>
        <w:drawing>
          <wp:inline distT="0" distB="0" distL="0" distR="0" wp14:anchorId="75333300" wp14:editId="7F06764F">
            <wp:extent cx="5943600" cy="2882900"/>
            <wp:effectExtent l="76200" t="76200" r="76200" b="698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E6902" w:rsidRPr="001B0917" w:rsidRDefault="00A331B5" w:rsidP="009813DF">
      <w:pPr>
        <w:pStyle w:val="ListParagraph"/>
        <w:tabs>
          <w:tab w:val="left" w:pos="432"/>
          <w:tab w:val="left" w:pos="864"/>
        </w:tabs>
        <w:spacing w:line="276" w:lineRule="auto"/>
        <w:ind w:left="792" w:hanging="79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30A46" w:rsidRPr="00530A46" w:rsidRDefault="00F8149C" w:rsidP="00530A4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530A46">
        <w:rPr>
          <w:rFonts w:ascii="Arial" w:hAnsi="Arial" w:cs="Arial"/>
          <w:sz w:val="22"/>
          <w:szCs w:val="22"/>
          <w:lang w:val="en-GB"/>
        </w:rPr>
        <w:t xml:space="preserve">See </w:t>
      </w:r>
      <w:r w:rsidR="00530A46">
        <w:rPr>
          <w:rFonts w:ascii="Arial" w:hAnsi="Arial" w:cs="Arial"/>
          <w:sz w:val="22"/>
          <w:szCs w:val="22"/>
          <w:lang w:val="en-GB"/>
        </w:rPr>
        <w:t>table below;</w:t>
      </w:r>
    </w:p>
    <w:p w:rsidR="00530A46" w:rsidRDefault="00530A46" w:rsidP="00530A46">
      <w:pPr>
        <w:rPr>
          <w:rFonts w:ascii="Arial" w:hAnsi="Arial" w:cs="Arial"/>
          <w:b/>
          <w:sz w:val="22"/>
          <w:szCs w:val="22"/>
        </w:rPr>
      </w:pPr>
    </w:p>
    <w:tbl>
      <w:tblPr>
        <w:tblW w:w="9914" w:type="dxa"/>
        <w:tblInd w:w="93" w:type="dxa"/>
        <w:tblLook w:val="04A0" w:firstRow="1" w:lastRow="0" w:firstColumn="1" w:lastColumn="0" w:noHBand="0" w:noVBand="1"/>
      </w:tblPr>
      <w:tblGrid>
        <w:gridCol w:w="648"/>
        <w:gridCol w:w="1009"/>
        <w:gridCol w:w="2186"/>
        <w:gridCol w:w="1097"/>
        <w:gridCol w:w="1574"/>
        <w:gridCol w:w="1298"/>
        <w:gridCol w:w="2102"/>
      </w:tblGrid>
      <w:tr w:rsidR="00530A46" w:rsidTr="00530A46">
        <w:trPr>
          <w:trHeight w:val="915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Province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Municipality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Audit opinion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Audit Committee (AC)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 of times AC met during 2013/14 FY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 Tambo District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F877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b/>
                <w:bCs/>
                <w:color w:val="54823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48235"/>
                <w:sz w:val="22"/>
                <w:szCs w:val="22"/>
              </w:rPr>
              <w:t>District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Great Kei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Ikwezi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Info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Inkwanca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Inxuba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Yethemba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Lukhanji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Makana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Mbizana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Mhlontlo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Adverse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Ndlambe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Ngqushwa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Ntabankulu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Sundays River Valley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Letsemeng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Mafube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Maluti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-A-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Phofung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Mantsopa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Matjhabeng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Moqhaka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Info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Nala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Ngwathe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Phumelela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GP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Westonaria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Adverse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KZN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Amajuba District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F877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b/>
                <w:bCs/>
                <w:color w:val="54823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48235"/>
                <w:sz w:val="22"/>
                <w:szCs w:val="22"/>
              </w:rPr>
              <w:t>District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KZN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Hlabisa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KZN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Jozini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Mopani District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F877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b/>
                <w:bCs/>
                <w:color w:val="54823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48235"/>
                <w:sz w:val="22"/>
                <w:szCs w:val="22"/>
              </w:rPr>
              <w:t>District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Adverse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Vhembe District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F877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b/>
                <w:bCs/>
                <w:color w:val="54823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48235"/>
                <w:sz w:val="22"/>
                <w:szCs w:val="22"/>
              </w:rPr>
              <w:t>District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Ba-Phalaborwa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Ephraim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Mogale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Fetakgomo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Thabazimbi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Info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Tubatse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MP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Emakhazeni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MP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Emalahleni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MP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Mkhondo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MP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Msukaligwa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MP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Thaba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Chweu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NW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Ruth 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Mompati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F877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b/>
                <w:bCs/>
                <w:color w:val="54823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48235"/>
                <w:sz w:val="22"/>
                <w:szCs w:val="22"/>
              </w:rPr>
              <w:t>District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NW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Ngaka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Modiri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Molema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F877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b/>
                <w:bCs/>
                <w:color w:val="54823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48235"/>
                <w:sz w:val="22"/>
                <w:szCs w:val="22"/>
              </w:rPr>
              <w:t>District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Info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NW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Ditsobotla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Info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NW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Greater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Taung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NW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Lekwa-Teemane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NW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Mamusa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NW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Maquassi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Hills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NW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Tswaing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Info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NW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Ventersdorp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!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Kheis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Info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Dikgatlong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Info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Segonyana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Info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Kamiesberg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Info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Karoo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Hoogland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Info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Kgatelopele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Info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Magareng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Info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Phokwane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Info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Renosterberg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Info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Thembelihle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Info</w:t>
            </w:r>
          </w:p>
        </w:tc>
      </w:tr>
      <w:tr w:rsidR="00530A46" w:rsidTr="00530A4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Tsantsabane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46" w:rsidRDefault="00530A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A46" w:rsidRDefault="00530A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Disclaimer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0A46" w:rsidRDefault="00530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Info</w:t>
            </w:r>
          </w:p>
        </w:tc>
      </w:tr>
    </w:tbl>
    <w:p w:rsidR="00B77F67" w:rsidRPr="00530A46" w:rsidRDefault="00B77F67" w:rsidP="00530A46">
      <w:pPr>
        <w:rPr>
          <w:rFonts w:ascii="Arial" w:hAnsi="Arial" w:cs="Arial"/>
          <w:b/>
          <w:sz w:val="22"/>
          <w:szCs w:val="22"/>
        </w:rPr>
      </w:pPr>
    </w:p>
    <w:sectPr w:rsidR="00B77F67" w:rsidRPr="00530A46" w:rsidSect="003546CB">
      <w:pgSz w:w="12240" w:h="15840" w:code="1"/>
      <w:pgMar w:top="851" w:right="1418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3618A"/>
    <w:multiLevelType w:val="hybridMultilevel"/>
    <w:tmpl w:val="458A1736"/>
    <w:lvl w:ilvl="0" w:tplc="079E8D90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0370671"/>
    <w:multiLevelType w:val="hybridMultilevel"/>
    <w:tmpl w:val="DD34D804"/>
    <w:lvl w:ilvl="0" w:tplc="26921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BC"/>
    <w:rsid w:val="00020C04"/>
    <w:rsid w:val="000C48D8"/>
    <w:rsid w:val="000F3B14"/>
    <w:rsid w:val="001433AE"/>
    <w:rsid w:val="0015727B"/>
    <w:rsid w:val="001713D2"/>
    <w:rsid w:val="00176511"/>
    <w:rsid w:val="001B0917"/>
    <w:rsid w:val="001E3FB5"/>
    <w:rsid w:val="001E6902"/>
    <w:rsid w:val="00246B4A"/>
    <w:rsid w:val="002F6E86"/>
    <w:rsid w:val="003421BD"/>
    <w:rsid w:val="003546CB"/>
    <w:rsid w:val="00477BB6"/>
    <w:rsid w:val="00480B2F"/>
    <w:rsid w:val="005141B3"/>
    <w:rsid w:val="00530A46"/>
    <w:rsid w:val="00574E19"/>
    <w:rsid w:val="005C2F49"/>
    <w:rsid w:val="00613FC6"/>
    <w:rsid w:val="006239F1"/>
    <w:rsid w:val="00624D20"/>
    <w:rsid w:val="0062770E"/>
    <w:rsid w:val="0064275F"/>
    <w:rsid w:val="00647EF2"/>
    <w:rsid w:val="00653A85"/>
    <w:rsid w:val="007041BC"/>
    <w:rsid w:val="007118EA"/>
    <w:rsid w:val="00726A9C"/>
    <w:rsid w:val="007359BF"/>
    <w:rsid w:val="007914E0"/>
    <w:rsid w:val="007A32AF"/>
    <w:rsid w:val="007B1BA1"/>
    <w:rsid w:val="00800CD3"/>
    <w:rsid w:val="00891265"/>
    <w:rsid w:val="008C2559"/>
    <w:rsid w:val="00911717"/>
    <w:rsid w:val="009163A5"/>
    <w:rsid w:val="0092736B"/>
    <w:rsid w:val="00953363"/>
    <w:rsid w:val="0096007E"/>
    <w:rsid w:val="009813DF"/>
    <w:rsid w:val="009A18A7"/>
    <w:rsid w:val="00A27751"/>
    <w:rsid w:val="00A331B5"/>
    <w:rsid w:val="00A525F0"/>
    <w:rsid w:val="00A72B9B"/>
    <w:rsid w:val="00AD00CE"/>
    <w:rsid w:val="00AD5C9B"/>
    <w:rsid w:val="00B447E6"/>
    <w:rsid w:val="00B5192F"/>
    <w:rsid w:val="00B77F67"/>
    <w:rsid w:val="00BD31C6"/>
    <w:rsid w:val="00C25C7E"/>
    <w:rsid w:val="00C312EA"/>
    <w:rsid w:val="00C44C35"/>
    <w:rsid w:val="00C60822"/>
    <w:rsid w:val="00CC2F3E"/>
    <w:rsid w:val="00D64989"/>
    <w:rsid w:val="00DB2463"/>
    <w:rsid w:val="00DC41DF"/>
    <w:rsid w:val="00DD5296"/>
    <w:rsid w:val="00DF0D26"/>
    <w:rsid w:val="00E1169A"/>
    <w:rsid w:val="00E77DF6"/>
    <w:rsid w:val="00E8352B"/>
    <w:rsid w:val="00EA6A49"/>
    <w:rsid w:val="00F46AD7"/>
    <w:rsid w:val="00F51C17"/>
    <w:rsid w:val="00F5571A"/>
    <w:rsid w:val="00F8149C"/>
    <w:rsid w:val="00F87EA6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97B60E-4DE2-4D09-9706-FB5C87CD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00C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54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46C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0712\Documents\Chart%20Parliamentry%20Question_Disclaimer%20and%20advers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AUDIT COMMITTEE MEETINGS</a:t>
            </a:r>
          </a:p>
        </c:rich>
      </c:tx>
      <c:layout/>
      <c:overlay val="0"/>
    </c:title>
    <c:autoTitleDeleted val="0"/>
    <c:view3D>
      <c:rotX val="10"/>
      <c:rotY val="20"/>
      <c:rAngAx val="1"/>
    </c:view3D>
    <c:floor>
      <c:thickness val="0"/>
    </c:floor>
    <c:sideWall>
      <c:thickness val="0"/>
      <c:spPr>
        <a:effectLst>
          <a:outerShdw blurRad="50800" dist="50800" dir="5400000" algn="ctr" rotWithShape="0">
            <a:schemeClr val="accent4">
              <a:lumMod val="40000"/>
              <a:lumOff val="60000"/>
            </a:schemeClr>
          </a:outerShdw>
        </a:effectLst>
      </c:spPr>
    </c:sideWall>
    <c:backWall>
      <c:thickness val="0"/>
      <c:spPr>
        <a:effectLst>
          <a:outerShdw blurRad="50800" dist="50800" dir="5400000" algn="ctr" rotWithShape="0">
            <a:schemeClr val="accent4">
              <a:lumMod val="40000"/>
              <a:lumOff val="60000"/>
            </a:schemeClr>
          </a:outerShdw>
        </a:effectLst>
      </c:spPr>
    </c:backWall>
    <c:plotArea>
      <c:layout>
        <c:manualLayout>
          <c:layoutTarget val="inner"/>
          <c:xMode val="edge"/>
          <c:yMode val="edge"/>
          <c:x val="0.12037516196551379"/>
          <c:y val="0.14964525837724083"/>
          <c:w val="0.85116090235555997"/>
          <c:h val="0.50860677194149795"/>
        </c:manualLayout>
      </c:layout>
      <c:bar3DChart>
        <c:barDir val="col"/>
        <c:grouping val="clustered"/>
        <c:varyColors val="0"/>
        <c:ser>
          <c:idx val="0"/>
          <c:order val="0"/>
          <c:tx>
            <c:v>NO. OF MEETINGS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Sheet1!$J$68:$J$129</c:f>
              <c:strCache>
                <c:ptCount val="7"/>
                <c:pt idx="0">
                  <c:v>NO INFORMATION</c:v>
                </c:pt>
                <c:pt idx="1">
                  <c:v>ONE</c:v>
                </c:pt>
                <c:pt idx="2">
                  <c:v>TWO</c:v>
                </c:pt>
                <c:pt idx="3">
                  <c:v>THREE</c:v>
                </c:pt>
                <c:pt idx="4">
                  <c:v>FOUR</c:v>
                </c:pt>
                <c:pt idx="5">
                  <c:v>FIVE</c:v>
                </c:pt>
                <c:pt idx="6">
                  <c:v>SIX</c:v>
                </c:pt>
              </c:strCache>
            </c:strRef>
          </c:cat>
          <c:val>
            <c:numRef>
              <c:f>Sheet1!$K$68:$K$129</c:f>
              <c:numCache>
                <c:formatCode>General</c:formatCode>
                <c:ptCount val="7"/>
                <c:pt idx="0">
                  <c:v>17</c:v>
                </c:pt>
                <c:pt idx="1">
                  <c:v>3</c:v>
                </c:pt>
                <c:pt idx="2">
                  <c:v>3</c:v>
                </c:pt>
                <c:pt idx="3">
                  <c:v>12</c:v>
                </c:pt>
                <c:pt idx="4">
                  <c:v>16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6686384"/>
        <c:axId val="186277848"/>
        <c:axId val="0"/>
      </c:bar3DChart>
      <c:catAx>
        <c:axId val="186686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 anchor="ctr" anchorCtr="0"/>
          <a:lstStyle/>
          <a:p>
            <a:pPr>
              <a:defRPr b="1" i="0" baseline="0">
                <a:solidFill>
                  <a:schemeClr val="bg1"/>
                </a:solidFill>
              </a:defRPr>
            </a:pPr>
            <a:endParaRPr lang="en-US"/>
          </a:p>
        </c:txPr>
        <c:crossAx val="186277848"/>
        <c:crosses val="autoZero"/>
        <c:auto val="0"/>
        <c:lblAlgn val="ctr"/>
        <c:lblOffset val="100"/>
        <c:noMultiLvlLbl val="0"/>
      </c:catAx>
      <c:valAx>
        <c:axId val="186277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en-US"/>
          </a:p>
        </c:txPr>
        <c:crossAx val="186686384"/>
        <c:crosses val="autoZero"/>
        <c:crossBetween val="between"/>
      </c:valAx>
    </c:plotArea>
    <c:legend>
      <c:legendPos val="b"/>
      <c:layout/>
      <c:overlay val="1"/>
      <c:txPr>
        <a:bodyPr/>
        <a:lstStyle/>
        <a:p>
          <a:pPr>
            <a:defRPr sz="1200" b="1" i="0" baseline="0"/>
          </a:pPr>
          <a:endParaRPr lang="en-US"/>
        </a:p>
      </c:txPr>
    </c:legend>
    <c:plotVisOnly val="1"/>
    <c:dispBlanksAs val="gap"/>
    <c:showDLblsOverMax val="0"/>
  </c:chart>
  <c:spPr>
    <a:solidFill>
      <a:schemeClr val="tx1">
        <a:lumMod val="50000"/>
        <a:lumOff val="50000"/>
      </a:schemeClr>
    </a:solidFill>
    <a:effectLst>
      <a:glow rad="63500">
        <a:schemeClr val="accent3">
          <a:satMod val="175000"/>
          <a:alpha val="40000"/>
        </a:schemeClr>
      </a:glow>
    </a:effectLst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0.0119</cdr:x>
      <cdr:y>0.22788</cdr:y>
    </cdr:from>
    <cdr:to>
      <cdr:x>0.07275</cdr:x>
      <cdr:y>0.59956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0729" y="539745"/>
          <a:ext cx="361668" cy="8803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none" rtlCol="0"/>
        <a:lstStyle xmlns:a="http://schemas.openxmlformats.org/drawingml/2006/main"/>
        <a:p xmlns:a="http://schemas.openxmlformats.org/drawingml/2006/main">
          <a:r>
            <a:rPr lang="en-ZA" sz="1100" b="1">
              <a:solidFill>
                <a:schemeClr val="bg1"/>
              </a:solidFill>
            </a:rPr>
            <a:t>NO.</a:t>
          </a:r>
          <a:r>
            <a:rPr lang="en-ZA" sz="1100" b="1" baseline="0">
              <a:solidFill>
                <a:schemeClr val="bg1"/>
              </a:solidFill>
            </a:rPr>
            <a:t> OF MUNICIPALITIES</a:t>
          </a:r>
          <a:endParaRPr lang="en-ZA" sz="1100" b="1">
            <a:solidFill>
              <a:schemeClr val="bg1"/>
            </a:solidFill>
          </a:endParaRPr>
        </a:p>
      </cdr:txBody>
    </cdr:sp>
  </cdr:relSizeAnchor>
  <cdr:relSizeAnchor xmlns:cdr="http://schemas.openxmlformats.org/drawingml/2006/chartDrawing">
    <cdr:from>
      <cdr:x>0</cdr:x>
      <cdr:y>0.2146</cdr:y>
    </cdr:from>
    <cdr:to>
      <cdr:x>0.16667</cdr:x>
      <cdr:y>0.74115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0" y="923926"/>
          <a:ext cx="1200150" cy="2266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ZA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6779-DF56-4DDC-8A5B-0F8DAFF5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Gcina Matakane</cp:lastModifiedBy>
  <cp:revision>2</cp:revision>
  <cp:lastPrinted>2015-09-18T09:18:00Z</cp:lastPrinted>
  <dcterms:created xsi:type="dcterms:W3CDTF">2015-10-05T07:16:00Z</dcterms:created>
  <dcterms:modified xsi:type="dcterms:W3CDTF">2015-10-05T07:16:00Z</dcterms:modified>
</cp:coreProperties>
</file>