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CF4F4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CF4F46" w:rsidP="00CF4F4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CF4F46" w:rsidP="00CF4F4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A97902">
        <w:rPr>
          <w:rFonts w:ascii="Arial" w:eastAsia="Calibri" w:hAnsi="Arial" w:cs="Arial"/>
          <w:b/>
          <w:bCs/>
          <w:lang w:val="en-GB"/>
        </w:rPr>
        <w:t>52</w:t>
      </w:r>
      <w:r w:rsidR="00A76430">
        <w:rPr>
          <w:rFonts w:ascii="Arial" w:eastAsia="Calibri" w:hAnsi="Arial" w:cs="Arial"/>
          <w:b/>
          <w:bCs/>
          <w:lang w:val="en-GB"/>
        </w:rPr>
        <w:t>1</w:t>
      </w:r>
    </w:p>
    <w:p w:rsidR="00B67C80" w:rsidRPr="00CF4F46" w:rsidRDefault="00B67C80" w:rsidP="00CF4F46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F4F46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361EB" w:rsidRPr="00CF4F46">
        <w:rPr>
          <w:rFonts w:ascii="Arial" w:eastAsia="Calibri" w:hAnsi="Arial" w:cs="Arial"/>
          <w:b/>
          <w:bCs/>
          <w:lang w:val="en-GB"/>
        </w:rPr>
        <w:t>16</w:t>
      </w:r>
      <w:r w:rsidR="00CF4F46" w:rsidRPr="00CF4F46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CF4F46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CF4F46" w:rsidRDefault="00B67C80" w:rsidP="00CF4F46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F4F46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361EB" w:rsidRPr="00CF4F46">
        <w:rPr>
          <w:rFonts w:ascii="Arial" w:eastAsia="Calibri" w:hAnsi="Arial" w:cs="Arial"/>
          <w:b/>
          <w:bCs/>
          <w:lang w:val="en-GB"/>
        </w:rPr>
        <w:t>30</w:t>
      </w:r>
      <w:r w:rsidRPr="00CF4F46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A76430" w:rsidRPr="00A76430" w:rsidRDefault="00A76430" w:rsidP="00A76430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A76430">
        <w:rPr>
          <w:rFonts w:ascii="Arial" w:hAnsi="Arial" w:cs="Arial"/>
          <w:b/>
        </w:rPr>
        <w:t>Adv G Breytenbach (DA) to ask the Minister of Justice and Correctional Services:</w:t>
      </w:r>
    </w:p>
    <w:p w:rsidR="00A76430" w:rsidRDefault="00A76430" w:rsidP="00A76430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A76430">
        <w:rPr>
          <w:rFonts w:ascii="Arial" w:hAnsi="Arial" w:cs="Arial"/>
        </w:rPr>
        <w:t>What number of gang-related cases (a) went to court and (b) ended in a successful conviction in each province (i) in the (aa) 2014-15, (bb) 2015-16, (cc) 2016-17 and (dd) 2017-18 financial years</w:t>
      </w:r>
      <w:r>
        <w:rPr>
          <w:rFonts w:ascii="Arial" w:hAnsi="Arial" w:cs="Arial"/>
        </w:rPr>
        <w:t xml:space="preserve"> and (ii) since 1 April 2018?</w:t>
      </w:r>
    </w:p>
    <w:p w:rsidR="00A76430" w:rsidRPr="00A76430" w:rsidRDefault="00A76430" w:rsidP="00A76430">
      <w:pPr>
        <w:pStyle w:val="Default"/>
        <w:spacing w:before="120" w:after="120" w:line="360" w:lineRule="auto"/>
        <w:jc w:val="right"/>
        <w:rPr>
          <w:rFonts w:ascii="Arial" w:eastAsia="Times New Roman" w:hAnsi="Arial" w:cs="Arial"/>
          <w:b/>
          <w:color w:val="auto"/>
          <w:lang w:eastAsia="en-US"/>
        </w:rPr>
      </w:pPr>
      <w:r w:rsidRPr="00A76430">
        <w:rPr>
          <w:rFonts w:ascii="Arial" w:eastAsia="Times New Roman" w:hAnsi="Arial" w:cs="Arial"/>
          <w:b/>
          <w:color w:val="auto"/>
          <w:lang w:eastAsia="en-US"/>
        </w:rPr>
        <w:t>NW4096E</w:t>
      </w:r>
    </w:p>
    <w:p w:rsidR="00365620" w:rsidRDefault="00B67C80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99287D" w:rsidRDefault="0099287D" w:rsidP="00401183">
      <w:pPr>
        <w:spacing w:line="360" w:lineRule="auto"/>
        <w:jc w:val="both"/>
        <w:rPr>
          <w:rFonts w:ascii="Arial" w:hAnsi="Arial" w:cs="Arial"/>
        </w:rPr>
      </w:pPr>
    </w:p>
    <w:p w:rsidR="00FA2EA1" w:rsidRDefault="00401183" w:rsidP="004011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3CFF">
        <w:rPr>
          <w:rFonts w:ascii="Arial" w:hAnsi="Arial" w:cs="Arial"/>
        </w:rPr>
        <w:t>he N</w:t>
      </w:r>
      <w:r w:rsidR="0099287D">
        <w:rPr>
          <w:rFonts w:ascii="Arial" w:hAnsi="Arial" w:cs="Arial"/>
        </w:rPr>
        <w:t>ational Prosecuting Authority (N</w:t>
      </w:r>
      <w:r w:rsidRPr="007E3CFF">
        <w:rPr>
          <w:rFonts w:ascii="Arial" w:hAnsi="Arial" w:cs="Arial"/>
        </w:rPr>
        <w:t>PA</w:t>
      </w:r>
      <w:r w:rsidR="0099287D">
        <w:rPr>
          <w:rFonts w:ascii="Arial" w:hAnsi="Arial" w:cs="Arial"/>
        </w:rPr>
        <w:t>) has informed me that the NPA</w:t>
      </w:r>
      <w:r w:rsidRPr="007E3CFF">
        <w:rPr>
          <w:rFonts w:ascii="Arial" w:hAnsi="Arial" w:cs="Arial"/>
        </w:rPr>
        <w:t xml:space="preserve"> does not keep statistics per crime type</w:t>
      </w:r>
      <w:r>
        <w:rPr>
          <w:rFonts w:ascii="Arial" w:hAnsi="Arial" w:cs="Arial"/>
        </w:rPr>
        <w:t>. However, to the extent</w:t>
      </w:r>
      <w:r w:rsidRPr="007E3CFF">
        <w:rPr>
          <w:rFonts w:ascii="Arial" w:hAnsi="Arial" w:cs="Arial"/>
        </w:rPr>
        <w:t xml:space="preserve"> that particular crimes were attributable to gang activity, </w:t>
      </w:r>
      <w:r>
        <w:rPr>
          <w:rFonts w:ascii="Arial" w:hAnsi="Arial" w:cs="Arial"/>
        </w:rPr>
        <w:t>the NPA keeps</w:t>
      </w:r>
      <w:r w:rsidRPr="007E3CFF">
        <w:rPr>
          <w:rFonts w:ascii="Arial" w:hAnsi="Arial" w:cs="Arial"/>
        </w:rPr>
        <w:t xml:space="preserve"> statistical information regarding the implementation of the crimes reported under the Prevention of Organised Crime Act (POCA) since the inception of dedicated </w:t>
      </w:r>
      <w:r w:rsidRPr="0099287D">
        <w:rPr>
          <w:rFonts w:ascii="Arial" w:hAnsi="Arial" w:cs="Arial"/>
          <w:lang w:val="en-ZA"/>
        </w:rPr>
        <w:t>organised</w:t>
      </w:r>
      <w:r w:rsidRPr="007E3CFF">
        <w:rPr>
          <w:rFonts w:ascii="Arial" w:hAnsi="Arial" w:cs="Arial"/>
        </w:rPr>
        <w:t xml:space="preserve"> crime prosecution components in D</w:t>
      </w:r>
      <w:r w:rsidR="0099287D">
        <w:rPr>
          <w:rFonts w:ascii="Arial" w:hAnsi="Arial" w:cs="Arial"/>
        </w:rPr>
        <w:t xml:space="preserve">eputy </w:t>
      </w:r>
      <w:r w:rsidRPr="007E3CFF">
        <w:rPr>
          <w:rFonts w:ascii="Arial" w:hAnsi="Arial" w:cs="Arial"/>
        </w:rPr>
        <w:t>P</w:t>
      </w:r>
      <w:r w:rsidR="0099287D">
        <w:rPr>
          <w:rFonts w:ascii="Arial" w:hAnsi="Arial" w:cs="Arial"/>
        </w:rPr>
        <w:t xml:space="preserve">ublic </w:t>
      </w:r>
      <w:r w:rsidRPr="007E3CFF">
        <w:rPr>
          <w:rFonts w:ascii="Arial" w:hAnsi="Arial" w:cs="Arial"/>
        </w:rPr>
        <w:t>P</w:t>
      </w:r>
      <w:r w:rsidR="0099287D">
        <w:rPr>
          <w:rFonts w:ascii="Arial" w:hAnsi="Arial" w:cs="Arial"/>
        </w:rPr>
        <w:t>rosecutions (DPP)</w:t>
      </w:r>
      <w:r w:rsidRPr="007E3CFF">
        <w:rPr>
          <w:rFonts w:ascii="Arial" w:hAnsi="Arial" w:cs="Arial"/>
        </w:rPr>
        <w:t xml:space="preserve"> divisions. </w:t>
      </w:r>
      <w:r>
        <w:rPr>
          <w:rFonts w:ascii="Arial" w:hAnsi="Arial" w:cs="Arial"/>
        </w:rPr>
        <w:t xml:space="preserve">Section 9 of </w:t>
      </w:r>
      <w:r w:rsidRPr="007E3CFF">
        <w:rPr>
          <w:rFonts w:ascii="Arial" w:hAnsi="Arial" w:cs="Arial"/>
        </w:rPr>
        <w:t>POCA creates specific offences for gang related crimes</w:t>
      </w:r>
      <w:r w:rsidR="00FC419A">
        <w:rPr>
          <w:rFonts w:ascii="Arial" w:hAnsi="Arial" w:cs="Arial"/>
        </w:rPr>
        <w:t>. H</w:t>
      </w:r>
      <w:r w:rsidRPr="007E3CFF">
        <w:rPr>
          <w:rFonts w:ascii="Arial" w:hAnsi="Arial" w:cs="Arial"/>
        </w:rPr>
        <w:t xml:space="preserve">owever, certain offences such as drug trafficking, murder, attempted murder, intimidation, assault, </w:t>
      </w:r>
      <w:r w:rsidR="0099287D">
        <w:rPr>
          <w:rFonts w:ascii="Arial" w:hAnsi="Arial" w:cs="Arial"/>
        </w:rPr>
        <w:t>and robbery</w:t>
      </w:r>
      <w:r w:rsidRPr="007E3CFF">
        <w:rPr>
          <w:rFonts w:ascii="Arial" w:hAnsi="Arial" w:cs="Arial"/>
        </w:rPr>
        <w:t xml:space="preserve"> are directly related to gang activities and gang membership. The statistics provide</w:t>
      </w:r>
      <w:r w:rsidR="00FC419A">
        <w:rPr>
          <w:rFonts w:ascii="Arial" w:hAnsi="Arial" w:cs="Arial"/>
        </w:rPr>
        <w:t>d</w:t>
      </w:r>
      <w:r w:rsidRPr="007E3CFF">
        <w:rPr>
          <w:rFonts w:ascii="Arial" w:hAnsi="Arial" w:cs="Arial"/>
        </w:rPr>
        <w:t xml:space="preserve"> therefor</w:t>
      </w:r>
      <w:r w:rsidR="00FC419A">
        <w:rPr>
          <w:rFonts w:ascii="Arial" w:hAnsi="Arial" w:cs="Arial"/>
        </w:rPr>
        <w:t>e</w:t>
      </w:r>
      <w:r w:rsidRPr="007E3CFF">
        <w:rPr>
          <w:rFonts w:ascii="Arial" w:hAnsi="Arial" w:cs="Arial"/>
        </w:rPr>
        <w:t xml:space="preserve"> include such cases</w:t>
      </w:r>
      <w:r w:rsidR="00FA2EA1">
        <w:rPr>
          <w:rFonts w:ascii="Arial" w:hAnsi="Arial" w:cs="Arial"/>
        </w:rPr>
        <w:t>,</w:t>
      </w:r>
      <w:r w:rsidRPr="007E3CFF">
        <w:rPr>
          <w:rFonts w:ascii="Arial" w:hAnsi="Arial" w:cs="Arial"/>
        </w:rPr>
        <w:t xml:space="preserve"> where it was identified </w:t>
      </w:r>
      <w:r w:rsidR="00FA2EA1">
        <w:rPr>
          <w:rFonts w:ascii="Arial" w:hAnsi="Arial" w:cs="Arial"/>
        </w:rPr>
        <w:t>that they were</w:t>
      </w:r>
      <w:r w:rsidRPr="007E3CFF">
        <w:rPr>
          <w:rFonts w:ascii="Arial" w:hAnsi="Arial" w:cs="Arial"/>
        </w:rPr>
        <w:t xml:space="preserve"> gang related. </w:t>
      </w:r>
    </w:p>
    <w:p w:rsidR="00F569A1" w:rsidRPr="007E3CFF" w:rsidRDefault="00F569A1" w:rsidP="00401183">
      <w:pPr>
        <w:spacing w:line="360" w:lineRule="auto"/>
        <w:jc w:val="both"/>
        <w:rPr>
          <w:rFonts w:ascii="Arial" w:hAnsi="Arial" w:cs="Arial"/>
        </w:rPr>
      </w:pPr>
    </w:p>
    <w:p w:rsidR="00401183" w:rsidRPr="007E3CFF" w:rsidRDefault="00BD7A20" w:rsidP="004011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01183" w:rsidRPr="007E3CFF">
        <w:rPr>
          <w:rFonts w:ascii="Arial" w:hAnsi="Arial" w:cs="Arial"/>
        </w:rPr>
        <w:t xml:space="preserve">information </w:t>
      </w:r>
      <w:r w:rsidR="0099287D">
        <w:rPr>
          <w:rFonts w:ascii="Arial" w:hAnsi="Arial" w:cs="Arial"/>
        </w:rPr>
        <w:t>tabulated below</w:t>
      </w:r>
      <w:r w:rsidR="00401183" w:rsidRPr="007E3CFF">
        <w:rPr>
          <w:rFonts w:ascii="Arial" w:hAnsi="Arial" w:cs="Arial"/>
        </w:rPr>
        <w:t xml:space="preserve"> is therefor</w:t>
      </w:r>
      <w:r w:rsidR="007E5CA8">
        <w:rPr>
          <w:rFonts w:ascii="Arial" w:hAnsi="Arial" w:cs="Arial"/>
        </w:rPr>
        <w:t>e</w:t>
      </w:r>
      <w:r w:rsidR="00401183" w:rsidRPr="007E3CFF">
        <w:rPr>
          <w:rFonts w:ascii="Arial" w:hAnsi="Arial" w:cs="Arial"/>
        </w:rPr>
        <w:t xml:space="preserve"> provided per provinc</w:t>
      </w:r>
      <w:r w:rsidR="00401183">
        <w:rPr>
          <w:rFonts w:ascii="Arial" w:hAnsi="Arial" w:cs="Arial"/>
        </w:rPr>
        <w:t>e</w:t>
      </w:r>
      <w:r w:rsidR="0099287D">
        <w:rPr>
          <w:rFonts w:ascii="Arial" w:hAnsi="Arial" w:cs="Arial"/>
        </w:rPr>
        <w:t xml:space="preserve"> and </w:t>
      </w:r>
      <w:r w:rsidR="0066561C">
        <w:rPr>
          <w:rFonts w:ascii="Arial" w:hAnsi="Arial" w:cs="Arial"/>
        </w:rPr>
        <w:t>financial</w:t>
      </w:r>
      <w:r w:rsidR="0099287D">
        <w:rPr>
          <w:rFonts w:ascii="Arial" w:hAnsi="Arial" w:cs="Arial"/>
        </w:rPr>
        <w:t xml:space="preserve"> year where such cases existed</w:t>
      </w:r>
      <w:r w:rsidR="0066561C">
        <w:rPr>
          <w:rFonts w:ascii="Arial" w:hAnsi="Arial" w:cs="Arial"/>
        </w:rPr>
        <w:t xml:space="preserve">/were recorded. The rest of the provinces do not have such cases. </w:t>
      </w:r>
    </w:p>
    <w:p w:rsidR="0099287D" w:rsidRDefault="0099287D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401183" w:rsidRPr="007E3CFF" w:rsidRDefault="00401183" w:rsidP="0099287D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 w:rsidRPr="007E3CFF">
        <w:rPr>
          <w:rFonts w:ascii="Arial" w:hAnsi="Arial" w:cs="Arial"/>
          <w:b/>
        </w:rPr>
        <w:t>KwaZ</w:t>
      </w:r>
      <w:r>
        <w:rPr>
          <w:rFonts w:ascii="Arial" w:hAnsi="Arial" w:cs="Arial"/>
          <w:b/>
        </w:rPr>
        <w:t>ulu-</w:t>
      </w:r>
      <w:r w:rsidRPr="007E3CFF">
        <w:rPr>
          <w:rFonts w:ascii="Arial" w:hAnsi="Arial" w:cs="Arial"/>
          <w:b/>
        </w:rPr>
        <w:t>Natal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276"/>
        <w:gridCol w:w="1134"/>
        <w:gridCol w:w="1134"/>
        <w:gridCol w:w="1701"/>
      </w:tblGrid>
      <w:tr w:rsidR="00401183" w:rsidRPr="007E3CFF" w:rsidTr="0099287D">
        <w:tc>
          <w:tcPr>
            <w:tcW w:w="3369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401183" w:rsidRPr="007E3CFF" w:rsidTr="0099287D">
        <w:tc>
          <w:tcPr>
            <w:tcW w:w="3369" w:type="dxa"/>
            <w:shd w:val="clear" w:color="auto" w:fill="auto"/>
          </w:tcPr>
          <w:p w:rsidR="00401183" w:rsidRPr="00BB2A55" w:rsidRDefault="0099287D" w:rsidP="009928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cases </w:t>
            </w:r>
            <w:r w:rsidR="00401183" w:rsidRPr="00BB2A55">
              <w:rPr>
                <w:rFonts w:ascii="Arial" w:hAnsi="Arial" w:cs="Arial"/>
              </w:rPr>
              <w:t>prosecuted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</w:tr>
      <w:tr w:rsidR="00401183" w:rsidRPr="007E3CFF" w:rsidTr="0099287D">
        <w:tc>
          <w:tcPr>
            <w:tcW w:w="3369" w:type="dxa"/>
            <w:shd w:val="clear" w:color="auto" w:fill="auto"/>
          </w:tcPr>
          <w:p w:rsidR="00401183" w:rsidRPr="00BB2A55" w:rsidRDefault="0099287D" w:rsidP="0099287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convicted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01183" w:rsidRPr="00BB2A55">
              <w:rPr>
                <w:rFonts w:ascii="Arial" w:hAnsi="Arial" w:cs="Arial"/>
              </w:rPr>
              <w:t>ending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401183" w:rsidRPr="007E3CFF" w:rsidRDefault="00401183" w:rsidP="0099287D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 w:rsidRPr="007E3CFF">
        <w:rPr>
          <w:rFonts w:ascii="Arial" w:hAnsi="Arial" w:cs="Arial"/>
          <w:b/>
        </w:rPr>
        <w:t>Free State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276"/>
        <w:gridCol w:w="1134"/>
        <w:gridCol w:w="1134"/>
        <w:gridCol w:w="1701"/>
      </w:tblGrid>
      <w:tr w:rsidR="0099287D" w:rsidRPr="007E3CFF" w:rsidTr="0099287D">
        <w:tc>
          <w:tcPr>
            <w:tcW w:w="3369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99287D" w:rsidRPr="007E3CFF" w:rsidTr="00BD7A20">
        <w:tc>
          <w:tcPr>
            <w:tcW w:w="3369" w:type="dxa"/>
            <w:shd w:val="clear" w:color="auto" w:fill="auto"/>
          </w:tcPr>
          <w:p w:rsidR="00401183" w:rsidRPr="00BB2A55" w:rsidRDefault="0099287D" w:rsidP="009928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prosecuted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6</w:t>
            </w:r>
          </w:p>
        </w:tc>
      </w:tr>
      <w:tr w:rsidR="0099287D" w:rsidRPr="007E3CFF" w:rsidTr="00BD7A20">
        <w:tc>
          <w:tcPr>
            <w:tcW w:w="3369" w:type="dxa"/>
            <w:shd w:val="clear" w:color="auto" w:fill="auto"/>
          </w:tcPr>
          <w:p w:rsidR="00401183" w:rsidRPr="00BB2A55" w:rsidRDefault="0099287D" w:rsidP="009928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convicted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 (5 pending)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</w:rPr>
      </w:pPr>
    </w:p>
    <w:p w:rsidR="00401183" w:rsidRPr="007E3CFF" w:rsidRDefault="0099287D" w:rsidP="0099287D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01183" w:rsidRPr="007E3CFF">
        <w:rPr>
          <w:rFonts w:ascii="Arial" w:hAnsi="Arial" w:cs="Arial"/>
          <w:b/>
        </w:rPr>
        <w:lastRenderedPageBreak/>
        <w:t>Western Cape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134"/>
        <w:gridCol w:w="1276"/>
        <w:gridCol w:w="2126"/>
      </w:tblGrid>
      <w:tr w:rsidR="00401183" w:rsidRPr="007E3CFF" w:rsidTr="0099287D">
        <w:tc>
          <w:tcPr>
            <w:tcW w:w="2943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99287D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prosecuted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11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99287D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="00401183" w:rsidRPr="00BB2A55">
              <w:rPr>
                <w:rFonts w:ascii="Arial" w:hAnsi="Arial" w:cs="Arial"/>
              </w:rPr>
              <w:t>of cases convicted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11 (30 cases pending on the roll)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401183" w:rsidRPr="00BD7A20" w:rsidRDefault="00BD7A20" w:rsidP="00BD7A20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Gauteng – </w:t>
      </w:r>
      <w:r w:rsidR="00401183" w:rsidRPr="00BD7A20">
        <w:rPr>
          <w:rFonts w:ascii="Arial" w:hAnsi="Arial" w:cs="Arial"/>
          <w:b/>
        </w:rPr>
        <w:t>South Gauteng Division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134"/>
        <w:gridCol w:w="1276"/>
        <w:gridCol w:w="2126"/>
      </w:tblGrid>
      <w:tr w:rsidR="00401183" w:rsidRPr="007E3CFF" w:rsidTr="0099287D">
        <w:tc>
          <w:tcPr>
            <w:tcW w:w="2943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99287D" w:rsidP="009928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99287D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prosecuted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9 Pending on court roll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99287D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convicted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D7A20" w:rsidRDefault="00BD7A20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7A20">
              <w:rPr>
                <w:rFonts w:ascii="Arial" w:hAnsi="Arial" w:cs="Arial"/>
              </w:rPr>
              <w:t>0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401183" w:rsidRPr="007E3CFF" w:rsidRDefault="00401183" w:rsidP="00BD7A20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 w:rsidRPr="007E3CFF">
        <w:rPr>
          <w:rFonts w:ascii="Arial" w:hAnsi="Arial" w:cs="Arial"/>
          <w:b/>
        </w:rPr>
        <w:t>Eastern Cape</w:t>
      </w:r>
      <w:r w:rsidR="0066561C">
        <w:rPr>
          <w:rFonts w:ascii="Arial" w:hAnsi="Arial" w:cs="Arial"/>
          <w:b/>
        </w:rPr>
        <w:t xml:space="preserve"> - Grahamstown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134"/>
        <w:gridCol w:w="1276"/>
        <w:gridCol w:w="2126"/>
      </w:tblGrid>
      <w:tr w:rsidR="00401183" w:rsidRPr="007E3CFF" w:rsidTr="00BD7A20">
        <w:tc>
          <w:tcPr>
            <w:tcW w:w="2943" w:type="dxa"/>
            <w:shd w:val="clear" w:color="auto" w:fill="auto"/>
            <w:vAlign w:val="center"/>
          </w:tcPr>
          <w:p w:rsidR="00401183" w:rsidRPr="00BB2A55" w:rsidRDefault="00BD7A20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99287D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BD7A20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prosecuted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46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BD7A20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="00401183" w:rsidRPr="00BB2A55">
              <w:rPr>
                <w:rFonts w:ascii="Arial" w:hAnsi="Arial" w:cs="Arial"/>
              </w:rPr>
              <w:t>of cases convicted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46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401183" w:rsidRPr="007E3CFF" w:rsidRDefault="00401183" w:rsidP="00BD7A20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</w:rPr>
      </w:pPr>
      <w:r w:rsidRPr="007E3CFF">
        <w:rPr>
          <w:rFonts w:ascii="Arial" w:hAnsi="Arial" w:cs="Arial"/>
          <w:b/>
        </w:rPr>
        <w:t xml:space="preserve">Limpopo (became </w:t>
      </w:r>
      <w:r w:rsidR="00BD7A20">
        <w:rPr>
          <w:rFonts w:ascii="Arial" w:hAnsi="Arial" w:cs="Arial"/>
          <w:b/>
        </w:rPr>
        <w:t xml:space="preserve">an </w:t>
      </w:r>
      <w:r w:rsidRPr="007E3CFF">
        <w:rPr>
          <w:rFonts w:ascii="Arial" w:hAnsi="Arial" w:cs="Arial"/>
          <w:b/>
        </w:rPr>
        <w:t>independent DPP office from January 2016)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276"/>
        <w:gridCol w:w="1134"/>
        <w:gridCol w:w="1276"/>
        <w:gridCol w:w="2126"/>
      </w:tblGrid>
      <w:tr w:rsidR="00401183" w:rsidRPr="007E3CFF" w:rsidTr="00BD7A20">
        <w:tc>
          <w:tcPr>
            <w:tcW w:w="2943" w:type="dxa"/>
            <w:shd w:val="clear" w:color="auto" w:fill="auto"/>
            <w:vAlign w:val="center"/>
          </w:tcPr>
          <w:p w:rsidR="00401183" w:rsidRPr="00BB2A55" w:rsidRDefault="00BD7A20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2014/15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2015/16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2016/17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B2A55">
              <w:rPr>
                <w:rFonts w:ascii="Arial" w:hAnsi="Arial" w:cs="Arial"/>
                <w:b/>
              </w:rPr>
              <w:t>2017/18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99287D" w:rsidP="00BD7A2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 to date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BD7A20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r w:rsidR="00401183" w:rsidRPr="00BB2A55">
              <w:rPr>
                <w:rFonts w:ascii="Arial" w:hAnsi="Arial" w:cs="Arial"/>
              </w:rPr>
              <w:t xml:space="preserve"> of cases prosecuted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</w:tr>
      <w:tr w:rsidR="00401183" w:rsidRPr="007E3CFF" w:rsidTr="00BD7A20">
        <w:tc>
          <w:tcPr>
            <w:tcW w:w="2943" w:type="dxa"/>
            <w:shd w:val="clear" w:color="auto" w:fill="auto"/>
          </w:tcPr>
          <w:p w:rsidR="00401183" w:rsidRPr="00BB2A55" w:rsidRDefault="00BD7A20" w:rsidP="00BB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  <w:r w:rsidR="00401183" w:rsidRPr="00BB2A55">
              <w:rPr>
                <w:rFonts w:ascii="Arial" w:hAnsi="Arial" w:cs="Arial"/>
              </w:rPr>
              <w:t xml:space="preserve"> of cases convicted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83" w:rsidRPr="00BB2A55" w:rsidRDefault="00401183" w:rsidP="00BD7A20">
            <w:pPr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183" w:rsidRPr="00BB2A55" w:rsidRDefault="00401183" w:rsidP="00BD7A2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A55">
              <w:rPr>
                <w:rFonts w:ascii="Arial" w:hAnsi="Arial" w:cs="Arial"/>
              </w:rPr>
              <w:t>1</w:t>
            </w:r>
          </w:p>
        </w:tc>
      </w:tr>
    </w:tbl>
    <w:p w:rsidR="00401183" w:rsidRPr="007E3CFF" w:rsidRDefault="00401183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A25B51" w:rsidRDefault="00A25B51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66561C" w:rsidRDefault="0066561C" w:rsidP="00401183">
      <w:pPr>
        <w:spacing w:line="360" w:lineRule="auto"/>
        <w:jc w:val="both"/>
        <w:rPr>
          <w:rFonts w:ascii="Arial" w:hAnsi="Arial" w:cs="Arial"/>
          <w:b/>
        </w:rPr>
      </w:pPr>
    </w:p>
    <w:p w:rsidR="0066561C" w:rsidRDefault="0066561C" w:rsidP="00BD7A20">
      <w:pPr>
        <w:spacing w:line="360" w:lineRule="auto"/>
        <w:jc w:val="both"/>
        <w:rPr>
          <w:rFonts w:ascii="Arial" w:hAnsi="Arial" w:cs="Arial"/>
        </w:rPr>
      </w:pPr>
    </w:p>
    <w:p w:rsidR="0066561C" w:rsidRPr="00FA59FA" w:rsidRDefault="0066561C" w:rsidP="00401183">
      <w:pPr>
        <w:spacing w:line="360" w:lineRule="auto"/>
        <w:jc w:val="both"/>
        <w:rPr>
          <w:rFonts w:ascii="Arial" w:hAnsi="Arial" w:cs="Arial"/>
          <w:b/>
        </w:rPr>
      </w:pPr>
    </w:p>
    <w:sectPr w:rsidR="0066561C" w:rsidRPr="00FA59FA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7E" w:rsidRDefault="00CE4A7E" w:rsidP="00913892">
      <w:r>
        <w:separator/>
      </w:r>
    </w:p>
  </w:endnote>
  <w:endnote w:type="continuationSeparator" w:id="0">
    <w:p w:rsidR="00CE4A7E" w:rsidRDefault="00CE4A7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917FC5" w:rsidRPr="00917FC5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7E" w:rsidRDefault="00CE4A7E" w:rsidP="00913892">
      <w:r>
        <w:separator/>
      </w:r>
    </w:p>
  </w:footnote>
  <w:footnote w:type="continuationSeparator" w:id="0">
    <w:p w:rsidR="00CE4A7E" w:rsidRDefault="00CE4A7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63CF"/>
    <w:multiLevelType w:val="hybridMultilevel"/>
    <w:tmpl w:val="D24EAFFE"/>
    <w:lvl w:ilvl="0" w:tplc="E75E8B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C33986"/>
    <w:multiLevelType w:val="hybridMultilevel"/>
    <w:tmpl w:val="11B46AE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EB5C1F"/>
    <w:multiLevelType w:val="hybridMultilevel"/>
    <w:tmpl w:val="C8BA1142"/>
    <w:lvl w:ilvl="0" w:tplc="A220282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1"/>
  </w:num>
  <w:num w:numId="5">
    <w:abstractNumId w:val="36"/>
  </w:num>
  <w:num w:numId="6">
    <w:abstractNumId w:val="4"/>
  </w:num>
  <w:num w:numId="7">
    <w:abstractNumId w:val="45"/>
  </w:num>
  <w:num w:numId="8">
    <w:abstractNumId w:val="15"/>
  </w:num>
  <w:num w:numId="9">
    <w:abstractNumId w:val="21"/>
  </w:num>
  <w:num w:numId="10">
    <w:abstractNumId w:val="38"/>
  </w:num>
  <w:num w:numId="11">
    <w:abstractNumId w:val="3"/>
  </w:num>
  <w:num w:numId="12">
    <w:abstractNumId w:val="28"/>
  </w:num>
  <w:num w:numId="13">
    <w:abstractNumId w:val="19"/>
  </w:num>
  <w:num w:numId="14">
    <w:abstractNumId w:val="22"/>
  </w:num>
  <w:num w:numId="15">
    <w:abstractNumId w:val="12"/>
  </w:num>
  <w:num w:numId="16">
    <w:abstractNumId w:val="20"/>
  </w:num>
  <w:num w:numId="17">
    <w:abstractNumId w:val="43"/>
  </w:num>
  <w:num w:numId="18">
    <w:abstractNumId w:val="29"/>
  </w:num>
  <w:num w:numId="19">
    <w:abstractNumId w:val="24"/>
  </w:num>
  <w:num w:numId="20">
    <w:abstractNumId w:val="42"/>
  </w:num>
  <w:num w:numId="21">
    <w:abstractNumId w:val="32"/>
  </w:num>
  <w:num w:numId="22">
    <w:abstractNumId w:val="33"/>
  </w:num>
  <w:num w:numId="23">
    <w:abstractNumId w:val="11"/>
  </w:num>
  <w:num w:numId="24">
    <w:abstractNumId w:val="34"/>
  </w:num>
  <w:num w:numId="25">
    <w:abstractNumId w:val="6"/>
  </w:num>
  <w:num w:numId="26">
    <w:abstractNumId w:val="7"/>
  </w:num>
  <w:num w:numId="27">
    <w:abstractNumId w:val="44"/>
  </w:num>
  <w:num w:numId="28">
    <w:abstractNumId w:val="16"/>
  </w:num>
  <w:num w:numId="29">
    <w:abstractNumId w:val="25"/>
  </w:num>
  <w:num w:numId="30">
    <w:abstractNumId w:val="39"/>
  </w:num>
  <w:num w:numId="31">
    <w:abstractNumId w:val="9"/>
  </w:num>
  <w:num w:numId="32">
    <w:abstractNumId w:val="14"/>
  </w:num>
  <w:num w:numId="33">
    <w:abstractNumId w:val="0"/>
  </w:num>
  <w:num w:numId="34">
    <w:abstractNumId w:val="17"/>
  </w:num>
  <w:num w:numId="35">
    <w:abstractNumId w:val="10"/>
  </w:num>
  <w:num w:numId="36">
    <w:abstractNumId w:val="30"/>
  </w:num>
  <w:num w:numId="37">
    <w:abstractNumId w:val="27"/>
  </w:num>
  <w:num w:numId="38">
    <w:abstractNumId w:val="23"/>
  </w:num>
  <w:num w:numId="39">
    <w:abstractNumId w:val="35"/>
  </w:num>
  <w:num w:numId="40">
    <w:abstractNumId w:val="26"/>
  </w:num>
  <w:num w:numId="41">
    <w:abstractNumId w:val="2"/>
  </w:num>
  <w:num w:numId="42">
    <w:abstractNumId w:val="37"/>
  </w:num>
  <w:num w:numId="43">
    <w:abstractNumId w:val="41"/>
  </w:num>
  <w:num w:numId="44">
    <w:abstractNumId w:val="13"/>
  </w:num>
  <w:num w:numId="45">
    <w:abstractNumId w:val="8"/>
  </w:num>
  <w:num w:numId="46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44C7"/>
    <w:rsid w:val="0001661F"/>
    <w:rsid w:val="00020B66"/>
    <w:rsid w:val="0002563F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22691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37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1130"/>
    <w:rsid w:val="00401183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1BC5"/>
    <w:rsid w:val="004B6B6B"/>
    <w:rsid w:val="004F2AE4"/>
    <w:rsid w:val="004F6FEC"/>
    <w:rsid w:val="00513281"/>
    <w:rsid w:val="00515B6A"/>
    <w:rsid w:val="005160F8"/>
    <w:rsid w:val="0054211D"/>
    <w:rsid w:val="00555EE6"/>
    <w:rsid w:val="00572F09"/>
    <w:rsid w:val="005835BC"/>
    <w:rsid w:val="005856A7"/>
    <w:rsid w:val="00585897"/>
    <w:rsid w:val="005A40B9"/>
    <w:rsid w:val="005A4F3D"/>
    <w:rsid w:val="005A589B"/>
    <w:rsid w:val="005A60AD"/>
    <w:rsid w:val="005E365A"/>
    <w:rsid w:val="005F266C"/>
    <w:rsid w:val="00612214"/>
    <w:rsid w:val="0062002F"/>
    <w:rsid w:val="00625CD7"/>
    <w:rsid w:val="00630932"/>
    <w:rsid w:val="00632C25"/>
    <w:rsid w:val="00635C5D"/>
    <w:rsid w:val="006364F1"/>
    <w:rsid w:val="006425C0"/>
    <w:rsid w:val="00643EF2"/>
    <w:rsid w:val="00653FE5"/>
    <w:rsid w:val="0066561C"/>
    <w:rsid w:val="00670788"/>
    <w:rsid w:val="0067545A"/>
    <w:rsid w:val="006959E4"/>
    <w:rsid w:val="006B0F80"/>
    <w:rsid w:val="006B2395"/>
    <w:rsid w:val="006B4149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5CA8"/>
    <w:rsid w:val="007E7201"/>
    <w:rsid w:val="007E76BC"/>
    <w:rsid w:val="007F2B0B"/>
    <w:rsid w:val="008361E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43B6"/>
    <w:rsid w:val="008F6A5A"/>
    <w:rsid w:val="009025C1"/>
    <w:rsid w:val="00905C38"/>
    <w:rsid w:val="00907DBA"/>
    <w:rsid w:val="00913892"/>
    <w:rsid w:val="00917FC5"/>
    <w:rsid w:val="0092193B"/>
    <w:rsid w:val="009229AD"/>
    <w:rsid w:val="0094372F"/>
    <w:rsid w:val="009541F2"/>
    <w:rsid w:val="009551F2"/>
    <w:rsid w:val="00964EFE"/>
    <w:rsid w:val="00973033"/>
    <w:rsid w:val="00983C6B"/>
    <w:rsid w:val="009868D6"/>
    <w:rsid w:val="00987653"/>
    <w:rsid w:val="0099287D"/>
    <w:rsid w:val="00995362"/>
    <w:rsid w:val="00996D41"/>
    <w:rsid w:val="009A5F5A"/>
    <w:rsid w:val="009A755B"/>
    <w:rsid w:val="009B0CAB"/>
    <w:rsid w:val="009B3D11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76430"/>
    <w:rsid w:val="00A9152D"/>
    <w:rsid w:val="00A97902"/>
    <w:rsid w:val="00AA2AB0"/>
    <w:rsid w:val="00AA39AC"/>
    <w:rsid w:val="00AD7B7A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53A6"/>
    <w:rsid w:val="00B67C80"/>
    <w:rsid w:val="00B80D55"/>
    <w:rsid w:val="00B8345D"/>
    <w:rsid w:val="00B86914"/>
    <w:rsid w:val="00B958BA"/>
    <w:rsid w:val="00BA3361"/>
    <w:rsid w:val="00BA3A67"/>
    <w:rsid w:val="00BA61AF"/>
    <w:rsid w:val="00BB2A55"/>
    <w:rsid w:val="00BB53A8"/>
    <w:rsid w:val="00BB762F"/>
    <w:rsid w:val="00BC7AFB"/>
    <w:rsid w:val="00BD6B56"/>
    <w:rsid w:val="00BD6D36"/>
    <w:rsid w:val="00BD7A20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C3144"/>
    <w:rsid w:val="00CD042D"/>
    <w:rsid w:val="00CD3DB4"/>
    <w:rsid w:val="00CD4D18"/>
    <w:rsid w:val="00CE0598"/>
    <w:rsid w:val="00CE4A7E"/>
    <w:rsid w:val="00CF1B81"/>
    <w:rsid w:val="00CF4F46"/>
    <w:rsid w:val="00D209A0"/>
    <w:rsid w:val="00D222F0"/>
    <w:rsid w:val="00D24750"/>
    <w:rsid w:val="00D255F6"/>
    <w:rsid w:val="00D27F02"/>
    <w:rsid w:val="00D3067D"/>
    <w:rsid w:val="00D43583"/>
    <w:rsid w:val="00D463C8"/>
    <w:rsid w:val="00D47730"/>
    <w:rsid w:val="00D50C5D"/>
    <w:rsid w:val="00D56B43"/>
    <w:rsid w:val="00D60C4A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7F42"/>
    <w:rsid w:val="00E2677E"/>
    <w:rsid w:val="00E43272"/>
    <w:rsid w:val="00E44AFC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569A1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EA1"/>
    <w:rsid w:val="00FA2F7E"/>
    <w:rsid w:val="00FA4D8E"/>
    <w:rsid w:val="00FA74AE"/>
    <w:rsid w:val="00FC419A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2018-10-25T06:36:00Z</cp:lastPrinted>
  <dcterms:created xsi:type="dcterms:W3CDTF">2019-02-25T11:28:00Z</dcterms:created>
  <dcterms:modified xsi:type="dcterms:W3CDTF">2019-02-25T11:28:00Z</dcterms:modified>
</cp:coreProperties>
</file>