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5D37E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5D37E4" w:rsidP="005D37E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5D37E4" w:rsidP="005D37E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114EE0">
        <w:rPr>
          <w:rFonts w:ascii="Arial" w:eastAsia="Calibri" w:hAnsi="Arial" w:cs="Arial"/>
          <w:b/>
          <w:bCs/>
          <w:lang w:val="en-GB"/>
        </w:rPr>
        <w:t>3</w:t>
      </w:r>
      <w:r w:rsidR="00D60C4A">
        <w:rPr>
          <w:rFonts w:ascii="Arial" w:eastAsia="Calibri" w:hAnsi="Arial" w:cs="Arial"/>
          <w:b/>
          <w:bCs/>
          <w:lang w:val="en-GB"/>
        </w:rPr>
        <w:t>514</w:t>
      </w:r>
    </w:p>
    <w:p w:rsidR="00B67C80" w:rsidRPr="005D37E4" w:rsidRDefault="00B67C80" w:rsidP="005D37E4">
      <w:pPr>
        <w:spacing w:after="200" w:line="276" w:lineRule="auto"/>
        <w:rPr>
          <w:rFonts w:ascii="Arial" w:eastAsia="Calibri" w:hAnsi="Arial" w:cs="Arial"/>
          <w:b/>
          <w:bCs/>
          <w:lang w:val="en-GB"/>
        </w:rPr>
      </w:pPr>
      <w:r w:rsidRPr="005D37E4">
        <w:rPr>
          <w:rFonts w:ascii="Arial" w:eastAsia="Calibri" w:hAnsi="Arial" w:cs="Arial"/>
          <w:b/>
          <w:bCs/>
          <w:lang w:val="en-GB"/>
        </w:rPr>
        <w:t xml:space="preserve">DATE OF QUESTION: </w:t>
      </w:r>
      <w:r w:rsidR="008361EB" w:rsidRPr="005D37E4">
        <w:rPr>
          <w:rFonts w:ascii="Arial" w:eastAsia="Calibri" w:hAnsi="Arial" w:cs="Arial"/>
          <w:b/>
          <w:bCs/>
          <w:lang w:val="en-GB"/>
        </w:rPr>
        <w:t>16</w:t>
      </w:r>
      <w:r w:rsidR="005D37E4" w:rsidRPr="005D37E4">
        <w:rPr>
          <w:rFonts w:ascii="Arial" w:eastAsia="Calibri" w:hAnsi="Arial" w:cs="Arial"/>
          <w:b/>
          <w:bCs/>
          <w:lang w:val="en-GB"/>
        </w:rPr>
        <w:t xml:space="preserve"> NOVEMBER </w:t>
      </w:r>
      <w:r w:rsidRPr="005D37E4">
        <w:rPr>
          <w:rFonts w:ascii="Arial" w:eastAsia="Calibri" w:hAnsi="Arial" w:cs="Arial"/>
          <w:b/>
          <w:bCs/>
          <w:lang w:val="en-GB"/>
        </w:rPr>
        <w:t>2018</w:t>
      </w:r>
    </w:p>
    <w:p w:rsidR="00B67C80" w:rsidRPr="005D37E4" w:rsidRDefault="00B67C80" w:rsidP="005D37E4">
      <w:pPr>
        <w:spacing w:before="100" w:beforeAutospacing="1" w:after="100" w:afterAutospacing="1" w:line="276" w:lineRule="auto"/>
        <w:outlineLvl w:val="0"/>
        <w:rPr>
          <w:rFonts w:ascii="Arial" w:eastAsia="Calibri" w:hAnsi="Arial" w:cs="Arial"/>
          <w:b/>
          <w:bCs/>
          <w:lang w:val="en-GB"/>
        </w:rPr>
      </w:pPr>
      <w:r w:rsidRPr="005D37E4">
        <w:rPr>
          <w:rFonts w:ascii="Arial" w:eastAsia="Calibri" w:hAnsi="Arial" w:cs="Arial"/>
          <w:b/>
          <w:bCs/>
          <w:lang w:val="en-GB"/>
        </w:rPr>
        <w:t xml:space="preserve">DATE OF SUBMISSION: </w:t>
      </w:r>
      <w:r w:rsidR="008361EB" w:rsidRPr="005D37E4">
        <w:rPr>
          <w:rFonts w:ascii="Arial" w:eastAsia="Calibri" w:hAnsi="Arial" w:cs="Arial"/>
          <w:b/>
          <w:bCs/>
          <w:lang w:val="en-GB"/>
        </w:rPr>
        <w:t>30</w:t>
      </w:r>
      <w:r w:rsidRPr="005D37E4">
        <w:rPr>
          <w:rFonts w:ascii="Arial" w:eastAsia="Calibri" w:hAnsi="Arial" w:cs="Arial"/>
          <w:b/>
          <w:bCs/>
          <w:lang w:val="en-GB"/>
        </w:rPr>
        <w:t xml:space="preserve"> NOVEMBER 2018</w:t>
      </w:r>
    </w:p>
    <w:p w:rsidR="00D60C4A" w:rsidRPr="00D60C4A" w:rsidRDefault="00D60C4A" w:rsidP="00D60C4A">
      <w:pPr>
        <w:pStyle w:val="Default"/>
        <w:spacing w:before="120" w:after="120" w:line="360" w:lineRule="auto"/>
        <w:jc w:val="both"/>
        <w:rPr>
          <w:rFonts w:ascii="Arial" w:hAnsi="Arial" w:cs="Arial"/>
          <w:b/>
        </w:rPr>
      </w:pPr>
      <w:r w:rsidRPr="00D60C4A">
        <w:rPr>
          <w:rFonts w:ascii="Arial" w:hAnsi="Arial" w:cs="Arial"/>
          <w:b/>
        </w:rPr>
        <w:t>[Dr C P Mulder (FF Plus) to ask the Minister of Justice and Correctional Services:†</w:t>
      </w:r>
    </w:p>
    <w:p w:rsidR="00D60C4A" w:rsidRPr="00D60C4A" w:rsidRDefault="00D60C4A" w:rsidP="00D60C4A">
      <w:pPr>
        <w:pStyle w:val="Default"/>
        <w:numPr>
          <w:ilvl w:val="0"/>
          <w:numId w:val="44"/>
        </w:numPr>
        <w:spacing w:before="120" w:after="120" w:line="360" w:lineRule="auto"/>
        <w:jc w:val="both"/>
        <w:rPr>
          <w:rFonts w:ascii="Arial" w:hAnsi="Arial" w:cs="Arial"/>
        </w:rPr>
      </w:pPr>
      <w:r w:rsidRPr="00D60C4A">
        <w:rPr>
          <w:rFonts w:ascii="Arial" w:hAnsi="Arial" w:cs="Arial"/>
        </w:rPr>
        <w:t>(a) How many (i) public servants and (ii) Ministers have received legal and financial support from the state annually since 1 January 2014 during court cases arising from the execution of their duties and (b) what were the costs related to each specified case;</w:t>
      </w:r>
    </w:p>
    <w:p w:rsidR="00D60C4A" w:rsidRPr="00D60C4A" w:rsidRDefault="00D60C4A" w:rsidP="00D60C4A">
      <w:pPr>
        <w:pStyle w:val="Default"/>
        <w:numPr>
          <w:ilvl w:val="0"/>
          <w:numId w:val="44"/>
        </w:numPr>
        <w:spacing w:before="120" w:after="120" w:line="360" w:lineRule="auto"/>
        <w:jc w:val="both"/>
        <w:rPr>
          <w:rFonts w:ascii="Arial" w:hAnsi="Arial" w:cs="Arial"/>
        </w:rPr>
      </w:pPr>
      <w:r w:rsidRPr="00D60C4A">
        <w:rPr>
          <w:rFonts w:ascii="Arial" w:hAnsi="Arial" w:cs="Arial"/>
        </w:rPr>
        <w:t>in how many cases have such civil servants and Ministers forfeited their administrative protection;</w:t>
      </w:r>
    </w:p>
    <w:p w:rsidR="00D60C4A" w:rsidRPr="00D60C4A" w:rsidRDefault="00D60C4A" w:rsidP="00D60C4A">
      <w:pPr>
        <w:pStyle w:val="Default"/>
        <w:numPr>
          <w:ilvl w:val="0"/>
          <w:numId w:val="44"/>
        </w:numPr>
        <w:spacing w:before="120" w:after="120" w:line="360" w:lineRule="auto"/>
        <w:jc w:val="both"/>
        <w:rPr>
          <w:rFonts w:ascii="Arial" w:hAnsi="Arial" w:cs="Arial"/>
        </w:rPr>
      </w:pPr>
      <w:r w:rsidRPr="00D60C4A">
        <w:rPr>
          <w:rFonts w:ascii="Arial" w:hAnsi="Arial" w:cs="Arial"/>
        </w:rPr>
        <w:t>whether the financial expenses associated with such forfeited cases have been recouped from the said civil servants and Ministers; if not, why not; if so, what is the extent of the financial expenses recouped in each case;</w:t>
      </w:r>
    </w:p>
    <w:p w:rsidR="00D60C4A" w:rsidRDefault="00D60C4A" w:rsidP="00D60C4A">
      <w:pPr>
        <w:pStyle w:val="Default"/>
        <w:numPr>
          <w:ilvl w:val="0"/>
          <w:numId w:val="44"/>
        </w:numPr>
        <w:spacing w:before="120" w:after="120" w:line="360" w:lineRule="auto"/>
        <w:jc w:val="both"/>
        <w:rPr>
          <w:rFonts w:ascii="Arial" w:hAnsi="Arial" w:cs="Arial"/>
        </w:rPr>
      </w:pPr>
      <w:r w:rsidRPr="00D60C4A">
        <w:rPr>
          <w:rFonts w:ascii="Arial" w:hAnsi="Arial" w:cs="Arial"/>
        </w:rPr>
        <w:t>whether he will make a statement about the matter?</w:t>
      </w:r>
      <w:r w:rsidRPr="00D60C4A">
        <w:rPr>
          <w:rFonts w:ascii="Arial" w:hAnsi="Arial" w:cs="Arial"/>
        </w:rPr>
        <w:tab/>
      </w:r>
      <w:r w:rsidRPr="00D60C4A">
        <w:rPr>
          <w:rFonts w:ascii="Arial" w:hAnsi="Arial" w:cs="Arial"/>
        </w:rPr>
        <w:tab/>
      </w:r>
      <w:r w:rsidRPr="00D60C4A">
        <w:rPr>
          <w:rFonts w:ascii="Arial" w:hAnsi="Arial" w:cs="Arial"/>
        </w:rPr>
        <w:tab/>
      </w:r>
    </w:p>
    <w:p w:rsidR="00D60C4A" w:rsidRPr="00D60C4A" w:rsidRDefault="00D60C4A" w:rsidP="00D60C4A">
      <w:pPr>
        <w:pStyle w:val="Default"/>
        <w:spacing w:before="120" w:after="120" w:line="360" w:lineRule="auto"/>
        <w:jc w:val="right"/>
        <w:rPr>
          <w:rFonts w:ascii="Arial" w:eastAsia="Times New Roman" w:hAnsi="Arial" w:cs="Arial"/>
          <w:b/>
          <w:color w:val="auto"/>
          <w:lang w:eastAsia="en-US"/>
        </w:rPr>
      </w:pPr>
      <w:r w:rsidRPr="00D60C4A">
        <w:rPr>
          <w:rFonts w:ascii="Arial" w:eastAsia="Times New Roman" w:hAnsi="Arial" w:cs="Arial"/>
          <w:b/>
          <w:color w:val="auto"/>
          <w:lang w:eastAsia="en-US"/>
        </w:rPr>
        <w:t>NW4089E]</w:t>
      </w:r>
    </w:p>
    <w:p w:rsidR="00365620" w:rsidRDefault="00B67C80" w:rsidP="00346374">
      <w:pPr>
        <w:pStyle w:val="Default"/>
        <w:spacing w:before="120" w:after="120" w:line="360" w:lineRule="auto"/>
        <w:rPr>
          <w:rFonts w:ascii="Arial" w:hAnsi="Arial" w:cs="Arial"/>
          <w:b/>
        </w:rPr>
      </w:pPr>
      <w:r>
        <w:rPr>
          <w:rFonts w:ascii="Arial" w:hAnsi="Arial" w:cs="Arial"/>
          <w:b/>
        </w:rPr>
        <w:br w:type="page"/>
      </w:r>
      <w:r w:rsidR="00365620">
        <w:rPr>
          <w:rFonts w:ascii="Arial" w:hAnsi="Arial" w:cs="Arial"/>
          <w:b/>
        </w:rPr>
        <w:lastRenderedPageBreak/>
        <w:t>REPLY:</w:t>
      </w:r>
    </w:p>
    <w:p w:rsidR="00601D9C" w:rsidRDefault="00601D9C" w:rsidP="00346374">
      <w:pPr>
        <w:pStyle w:val="Default"/>
        <w:spacing w:before="120" w:after="120" w:line="360" w:lineRule="auto"/>
        <w:rPr>
          <w:rFonts w:ascii="Arial" w:hAnsi="Arial" w:cs="Arial"/>
          <w:b/>
        </w:rPr>
      </w:pPr>
    </w:p>
    <w:p w:rsidR="00601D9C" w:rsidRDefault="00601D9C" w:rsidP="00601D9C">
      <w:pPr>
        <w:pStyle w:val="Default"/>
        <w:spacing w:before="120" w:after="120" w:line="360" w:lineRule="auto"/>
        <w:jc w:val="both"/>
        <w:rPr>
          <w:rFonts w:ascii="Arial" w:hAnsi="Arial" w:cs="Arial"/>
        </w:rPr>
      </w:pPr>
      <w:r w:rsidRPr="00601D9C">
        <w:rPr>
          <w:rFonts w:ascii="Arial" w:hAnsi="Arial" w:cs="Arial"/>
        </w:rPr>
        <w:t>I have been informed  by the Office of the Acting Chief Litigation Officer as follows:</w:t>
      </w:r>
    </w:p>
    <w:p w:rsidR="00ED2A42" w:rsidRDefault="00ED2A42" w:rsidP="00601D9C">
      <w:pPr>
        <w:pStyle w:val="Default"/>
        <w:spacing w:before="120" w:after="120" w:line="360" w:lineRule="auto"/>
        <w:jc w:val="both"/>
        <w:rPr>
          <w:rFonts w:ascii="Arial" w:hAnsi="Arial" w:cs="Arial"/>
        </w:rPr>
      </w:pPr>
    </w:p>
    <w:p w:rsidR="00ED2A42" w:rsidRDefault="00ED2A42" w:rsidP="00601D9C">
      <w:pPr>
        <w:pStyle w:val="Default"/>
        <w:spacing w:before="120" w:after="120" w:line="360" w:lineRule="auto"/>
        <w:jc w:val="both"/>
        <w:rPr>
          <w:rFonts w:ascii="Arial" w:hAnsi="Arial" w:cs="Arial"/>
        </w:rPr>
      </w:pPr>
      <w:r>
        <w:rPr>
          <w:rFonts w:ascii="Arial" w:hAnsi="Arial" w:cs="Arial"/>
        </w:rPr>
        <w:t xml:space="preserve">(1)(a)(i) </w:t>
      </w:r>
      <w:r w:rsidR="00A00772">
        <w:rPr>
          <w:rFonts w:ascii="Arial" w:hAnsi="Arial" w:cs="Arial"/>
        </w:rPr>
        <w:t xml:space="preserve">526 public servants; and (ii) </w:t>
      </w:r>
      <w:r w:rsidR="00147D0C">
        <w:rPr>
          <w:rFonts w:ascii="Arial" w:hAnsi="Arial" w:cs="Arial"/>
        </w:rPr>
        <w:t>4 Ministers; and (b) the statistics concerned regarding the costs, have not been kept separately, because they are managed in the normal processes and kept with all other files, which are allocated to a State Attorney if and when such an application is brought. The costs that could be sourced, are indicated in the tables below.</w:t>
      </w:r>
    </w:p>
    <w:p w:rsidR="00147D0C" w:rsidRDefault="00147D0C" w:rsidP="00601D9C">
      <w:pPr>
        <w:pStyle w:val="Default"/>
        <w:spacing w:before="120" w:after="120" w:line="360" w:lineRule="auto"/>
        <w:jc w:val="both"/>
        <w:rPr>
          <w:rFonts w:ascii="Arial" w:hAnsi="Arial" w:cs="Arial"/>
        </w:rPr>
      </w:pPr>
    </w:p>
    <w:p w:rsidR="008D7054" w:rsidRDefault="00147D0C" w:rsidP="00601D9C">
      <w:pPr>
        <w:pStyle w:val="Default"/>
        <w:spacing w:before="120" w:after="120" w:line="360" w:lineRule="auto"/>
        <w:jc w:val="both"/>
        <w:rPr>
          <w:rFonts w:ascii="Arial" w:hAnsi="Arial" w:cs="Arial"/>
        </w:rPr>
      </w:pPr>
      <w:r>
        <w:rPr>
          <w:rFonts w:ascii="Arial" w:hAnsi="Arial" w:cs="Arial"/>
        </w:rPr>
        <w:t xml:space="preserve">(2) None. </w:t>
      </w:r>
      <w:r w:rsidR="008D7054">
        <w:rPr>
          <w:rFonts w:ascii="Arial" w:hAnsi="Arial" w:cs="Arial"/>
        </w:rPr>
        <w:t>In the normal processes in State Attorneys’ Offices, such statistics are not kept separately, but are kept with all other normal files and allocated to a State Attorney if and when such an application is brought. In respect of the Heads of Department, Chief Financial Officers and Members of the Executive Council who applied for State cover, no separate record or statistics of such matters, were kept.</w:t>
      </w:r>
    </w:p>
    <w:p w:rsidR="008D7054" w:rsidRDefault="008D7054" w:rsidP="00601D9C">
      <w:pPr>
        <w:pStyle w:val="Default"/>
        <w:spacing w:before="120" w:after="120" w:line="360" w:lineRule="auto"/>
        <w:jc w:val="both"/>
        <w:rPr>
          <w:rFonts w:ascii="Arial" w:hAnsi="Arial" w:cs="Arial"/>
        </w:rPr>
      </w:pPr>
    </w:p>
    <w:p w:rsidR="00EF0551" w:rsidRDefault="00EF0551" w:rsidP="00601D9C">
      <w:pPr>
        <w:pStyle w:val="Default"/>
        <w:spacing w:before="120" w:after="120" w:line="360" w:lineRule="auto"/>
        <w:jc w:val="both"/>
        <w:rPr>
          <w:rFonts w:ascii="Arial" w:hAnsi="Arial" w:cs="Arial"/>
        </w:rPr>
      </w:pPr>
      <w:r>
        <w:rPr>
          <w:rFonts w:ascii="Arial" w:hAnsi="Arial" w:cs="Arial"/>
        </w:rPr>
        <w:t xml:space="preserve">(3)   No, because I have been informed that it is mostly SAPS members who are faced with this situation; and SAPS recoup the money themselves. The SAPS members sign an undertaking to pay before the matter is referred </w:t>
      </w:r>
      <w:r w:rsidR="00F55919">
        <w:rPr>
          <w:rFonts w:ascii="Arial" w:hAnsi="Arial" w:cs="Arial"/>
        </w:rPr>
        <w:t>to</w:t>
      </w:r>
      <w:r>
        <w:rPr>
          <w:rFonts w:ascii="Arial" w:hAnsi="Arial" w:cs="Arial"/>
        </w:rPr>
        <w:t xml:space="preserve"> the State Attorneys’ Offices and SAPS executes it internally.</w:t>
      </w:r>
    </w:p>
    <w:p w:rsidR="00EF0551" w:rsidRDefault="00EF0551" w:rsidP="00601D9C">
      <w:pPr>
        <w:pStyle w:val="Default"/>
        <w:spacing w:before="120" w:after="120" w:line="360" w:lineRule="auto"/>
        <w:jc w:val="both"/>
        <w:rPr>
          <w:rFonts w:ascii="Arial" w:hAnsi="Arial" w:cs="Arial"/>
        </w:rPr>
      </w:pPr>
    </w:p>
    <w:p w:rsidR="008D7054" w:rsidRDefault="00EF0551" w:rsidP="00601D9C">
      <w:pPr>
        <w:pStyle w:val="Default"/>
        <w:spacing w:before="120" w:after="120" w:line="360" w:lineRule="auto"/>
        <w:jc w:val="both"/>
        <w:rPr>
          <w:rFonts w:ascii="Arial" w:hAnsi="Arial" w:cs="Arial"/>
        </w:rPr>
      </w:pPr>
      <w:r>
        <w:rPr>
          <w:rFonts w:ascii="Arial" w:hAnsi="Arial" w:cs="Arial"/>
        </w:rPr>
        <w:t xml:space="preserve">(4) No such statement is necessary. </w:t>
      </w:r>
    </w:p>
    <w:p w:rsidR="00601D9C" w:rsidRDefault="00601D9C" w:rsidP="00601D9C">
      <w:pPr>
        <w:pStyle w:val="Default"/>
        <w:spacing w:before="120" w:after="120" w:line="360" w:lineRule="auto"/>
        <w:jc w:val="both"/>
        <w:rPr>
          <w:rFonts w:ascii="Arial" w:hAnsi="Arial" w:cs="Arial"/>
        </w:rPr>
      </w:pPr>
    </w:p>
    <w:p w:rsidR="00660EFC" w:rsidRDefault="00660EFC" w:rsidP="00601D9C">
      <w:pPr>
        <w:pStyle w:val="Default"/>
        <w:spacing w:before="120" w:after="120" w:line="360" w:lineRule="auto"/>
        <w:jc w:val="both"/>
        <w:rPr>
          <w:rFonts w:ascii="Arial" w:hAnsi="Arial" w:cs="Arial"/>
        </w:rPr>
      </w:pPr>
    </w:p>
    <w:p w:rsidR="00660EFC" w:rsidRDefault="00660EFC" w:rsidP="00601D9C">
      <w:pPr>
        <w:pStyle w:val="Default"/>
        <w:spacing w:before="120" w:after="120" w:line="360" w:lineRule="auto"/>
        <w:jc w:val="both"/>
        <w:rPr>
          <w:rFonts w:ascii="Arial" w:hAnsi="Arial" w:cs="Arial"/>
        </w:rPr>
      </w:pPr>
    </w:p>
    <w:p w:rsidR="00660EFC" w:rsidRDefault="00660EFC" w:rsidP="00601D9C">
      <w:pPr>
        <w:pStyle w:val="Default"/>
        <w:spacing w:before="120" w:after="120" w:line="360" w:lineRule="auto"/>
        <w:jc w:val="both"/>
        <w:rPr>
          <w:rFonts w:ascii="Arial" w:hAnsi="Arial" w:cs="Arial"/>
        </w:rPr>
      </w:pPr>
    </w:p>
    <w:p w:rsidR="00660EFC" w:rsidRDefault="00660EFC" w:rsidP="00601D9C">
      <w:pPr>
        <w:pStyle w:val="Default"/>
        <w:spacing w:before="120" w:after="120" w:line="360" w:lineRule="auto"/>
        <w:jc w:val="both"/>
        <w:rPr>
          <w:rFonts w:ascii="Arial" w:hAnsi="Arial" w:cs="Arial"/>
        </w:rPr>
      </w:pPr>
    </w:p>
    <w:p w:rsidR="00660EFC" w:rsidRPr="00660EFC" w:rsidRDefault="00660EFC" w:rsidP="00601D9C">
      <w:pPr>
        <w:pStyle w:val="Default"/>
        <w:spacing w:before="120" w:after="120" w:line="360" w:lineRule="auto"/>
        <w:jc w:val="both"/>
        <w:rPr>
          <w:rFonts w:ascii="Arial" w:hAnsi="Arial" w:cs="Arial"/>
          <w:b/>
        </w:rPr>
      </w:pPr>
      <w:r w:rsidRPr="00660EFC">
        <w:rPr>
          <w:rFonts w:ascii="Arial" w:hAnsi="Arial" w:cs="Arial"/>
          <w:b/>
        </w:rPr>
        <w:t>Background information:</w:t>
      </w:r>
    </w:p>
    <w:p w:rsidR="00883ECB" w:rsidRPr="00883ECB" w:rsidRDefault="00883ECB" w:rsidP="00A25B51">
      <w:pPr>
        <w:spacing w:line="360" w:lineRule="auto"/>
        <w:jc w:val="both"/>
        <w:rPr>
          <w:rFonts w:ascii="Arial" w:hAnsi="Arial" w:cs="Arial"/>
        </w:rPr>
      </w:pPr>
      <w:r w:rsidRPr="00883ECB">
        <w:rPr>
          <w:rFonts w:ascii="Arial" w:hAnsi="Arial" w:cs="Arial"/>
        </w:rPr>
        <w:t xml:space="preserve">The tables below provide statistical information of the Offices of the State Attorneys and the </w:t>
      </w:r>
      <w:r w:rsidR="00660EFC">
        <w:rPr>
          <w:rFonts w:ascii="Arial" w:hAnsi="Arial" w:cs="Arial"/>
        </w:rPr>
        <w:t xml:space="preserve">Chief </w:t>
      </w:r>
      <w:r w:rsidR="00A75C63">
        <w:rPr>
          <w:rFonts w:ascii="Arial" w:hAnsi="Arial" w:cs="Arial"/>
        </w:rPr>
        <w:t xml:space="preserve">Directorate: </w:t>
      </w:r>
      <w:r w:rsidRPr="00883ECB">
        <w:rPr>
          <w:rFonts w:ascii="Arial" w:hAnsi="Arial" w:cs="Arial"/>
        </w:rPr>
        <w:t xml:space="preserve">Law Enforcement within the Office of the Chief Litigation Officer dealing with matters of the Department of Justice and </w:t>
      </w:r>
      <w:r w:rsidR="009F6EBC">
        <w:rPr>
          <w:rFonts w:ascii="Arial" w:hAnsi="Arial" w:cs="Arial"/>
        </w:rPr>
        <w:t>Constitutional Development</w:t>
      </w:r>
      <w:r>
        <w:rPr>
          <w:rFonts w:ascii="Arial" w:hAnsi="Arial" w:cs="Arial"/>
        </w:rPr>
        <w:t>:</w:t>
      </w:r>
    </w:p>
    <w:p w:rsidR="00883ECB" w:rsidRDefault="00883ECB" w:rsidP="00A25B51">
      <w:pPr>
        <w:spacing w:line="360" w:lineRule="auto"/>
        <w:jc w:val="both"/>
        <w:rPr>
          <w:rFonts w:ascii="Arial" w:hAnsi="Arial" w:cs="Arial"/>
          <w:b/>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 xml:space="preserve"> STATE ATTORNEY</w:t>
      </w:r>
      <w:r w:rsidR="00251328">
        <w:rPr>
          <w:rFonts w:ascii="Arial" w:hAnsi="Arial" w:cs="Arial"/>
          <w:b/>
          <w:lang w:val="en-ZA"/>
        </w:rPr>
        <w:t>:</w:t>
      </w:r>
      <w:r w:rsidRPr="001116E6">
        <w:rPr>
          <w:rFonts w:ascii="Arial" w:hAnsi="Arial" w:cs="Arial"/>
          <w:b/>
          <w:lang w:val="en-ZA"/>
        </w:rPr>
        <w:t xml:space="preserve"> BLOEMFONTEIN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701"/>
        <w:gridCol w:w="1418"/>
        <w:gridCol w:w="1867"/>
        <w:gridCol w:w="2102"/>
      </w:tblGrid>
      <w:tr w:rsidR="00251328" w:rsidRPr="00511D57" w:rsidTr="00251328">
        <w:tc>
          <w:tcPr>
            <w:tcW w:w="851" w:type="dxa"/>
            <w:shd w:val="clear" w:color="auto" w:fill="auto"/>
          </w:tcPr>
          <w:p w:rsidR="00251328" w:rsidRPr="00511D57" w:rsidRDefault="00251328" w:rsidP="00251328">
            <w:pPr>
              <w:spacing w:line="360" w:lineRule="auto"/>
              <w:rPr>
                <w:rFonts w:ascii="Arial" w:hAnsi="Arial" w:cs="Arial"/>
                <w:b/>
                <w:lang w:val="en-ZA"/>
              </w:rPr>
            </w:pPr>
            <w:r w:rsidRPr="00511D57">
              <w:rPr>
                <w:rFonts w:ascii="Arial" w:hAnsi="Arial" w:cs="Arial"/>
                <w:b/>
                <w:lang w:val="en-ZA"/>
              </w:rPr>
              <w:t>Year</w:t>
            </w:r>
          </w:p>
        </w:tc>
        <w:tc>
          <w:tcPr>
            <w:tcW w:w="1276" w:type="dxa"/>
            <w:shd w:val="clear" w:color="auto" w:fill="auto"/>
          </w:tcPr>
          <w:p w:rsidR="00251328" w:rsidRPr="001116E6" w:rsidRDefault="00251328" w:rsidP="007D2118">
            <w:pPr>
              <w:spacing w:line="360" w:lineRule="auto"/>
              <w:jc w:val="both"/>
              <w:rPr>
                <w:rFonts w:ascii="Arial" w:hAnsi="Arial" w:cs="Arial"/>
                <w:b/>
                <w:lang w:val="en-ZA"/>
              </w:rPr>
            </w:pPr>
            <w:r w:rsidRPr="001116E6">
              <w:rPr>
                <w:rFonts w:ascii="Arial" w:hAnsi="Arial" w:cs="Arial"/>
                <w:b/>
                <w:lang w:val="en-ZA"/>
              </w:rPr>
              <w:t>N</w:t>
            </w:r>
            <w:r>
              <w:rPr>
                <w:rFonts w:ascii="Arial" w:hAnsi="Arial" w:cs="Arial"/>
                <w:b/>
                <w:lang w:val="en-ZA"/>
              </w:rPr>
              <w:t xml:space="preserve">o. of </w:t>
            </w:r>
            <w:r w:rsidRPr="001116E6">
              <w:rPr>
                <w:rFonts w:ascii="Arial" w:hAnsi="Arial" w:cs="Arial"/>
                <w:b/>
                <w:lang w:val="en-ZA"/>
              </w:rPr>
              <w:t>Public servants</w:t>
            </w:r>
          </w:p>
        </w:tc>
        <w:tc>
          <w:tcPr>
            <w:tcW w:w="1275" w:type="dxa"/>
            <w:shd w:val="clear" w:color="auto" w:fill="auto"/>
          </w:tcPr>
          <w:p w:rsidR="00251328" w:rsidRPr="001116E6" w:rsidRDefault="00251328" w:rsidP="007D2118">
            <w:pPr>
              <w:spacing w:line="360" w:lineRule="auto"/>
              <w:jc w:val="both"/>
              <w:rPr>
                <w:rFonts w:ascii="Arial" w:hAnsi="Arial" w:cs="Arial"/>
                <w:b/>
                <w:lang w:val="en-ZA"/>
              </w:rPr>
            </w:pPr>
            <w:r w:rsidRPr="001116E6">
              <w:rPr>
                <w:rFonts w:ascii="Arial" w:hAnsi="Arial" w:cs="Arial"/>
                <w:b/>
                <w:lang w:val="en-ZA"/>
              </w:rPr>
              <w:t>N</w:t>
            </w:r>
            <w:r>
              <w:rPr>
                <w:rFonts w:ascii="Arial" w:hAnsi="Arial" w:cs="Arial"/>
                <w:b/>
                <w:lang w:val="en-ZA"/>
              </w:rPr>
              <w:t xml:space="preserve">o. </w:t>
            </w:r>
            <w:r w:rsidRPr="001116E6">
              <w:rPr>
                <w:rFonts w:ascii="Arial" w:hAnsi="Arial" w:cs="Arial"/>
                <w:b/>
                <w:lang w:val="en-ZA"/>
              </w:rPr>
              <w:t xml:space="preserve">of Ministers </w:t>
            </w:r>
          </w:p>
        </w:tc>
        <w:tc>
          <w:tcPr>
            <w:tcW w:w="1701" w:type="dxa"/>
            <w:shd w:val="clear" w:color="auto" w:fill="auto"/>
          </w:tcPr>
          <w:p w:rsidR="00251328" w:rsidRPr="00511D57" w:rsidRDefault="00251328" w:rsidP="00251328">
            <w:pPr>
              <w:spacing w:line="360" w:lineRule="auto"/>
              <w:rPr>
                <w:rFonts w:ascii="Arial" w:hAnsi="Arial" w:cs="Arial"/>
                <w:b/>
                <w:lang w:val="en-ZA"/>
              </w:rPr>
            </w:pPr>
            <w:r w:rsidRPr="00511D57">
              <w:rPr>
                <w:rFonts w:ascii="Arial" w:hAnsi="Arial" w:cs="Arial"/>
                <w:b/>
                <w:lang w:val="en-ZA"/>
              </w:rPr>
              <w:t>Costs for public servants</w:t>
            </w:r>
          </w:p>
        </w:tc>
        <w:tc>
          <w:tcPr>
            <w:tcW w:w="1418" w:type="dxa"/>
            <w:shd w:val="clear" w:color="auto" w:fill="auto"/>
          </w:tcPr>
          <w:p w:rsidR="00251328" w:rsidRPr="00511D57" w:rsidRDefault="00251328" w:rsidP="00251328">
            <w:pPr>
              <w:spacing w:line="360" w:lineRule="auto"/>
              <w:rPr>
                <w:rFonts w:ascii="Arial" w:hAnsi="Arial" w:cs="Arial"/>
                <w:b/>
                <w:lang w:val="en-ZA"/>
              </w:rPr>
            </w:pPr>
            <w:r w:rsidRPr="00511D57">
              <w:rPr>
                <w:rFonts w:ascii="Arial" w:hAnsi="Arial" w:cs="Arial"/>
                <w:b/>
                <w:lang w:val="en-ZA"/>
              </w:rPr>
              <w:t>Costs for Ministers</w:t>
            </w:r>
          </w:p>
        </w:tc>
        <w:tc>
          <w:tcPr>
            <w:tcW w:w="1867" w:type="dxa"/>
            <w:shd w:val="clear" w:color="auto" w:fill="auto"/>
          </w:tcPr>
          <w:p w:rsidR="00251328" w:rsidRPr="00511D57" w:rsidRDefault="00251328" w:rsidP="00251328">
            <w:pPr>
              <w:spacing w:line="360" w:lineRule="auto"/>
              <w:rPr>
                <w:rFonts w:ascii="Arial" w:hAnsi="Arial" w:cs="Arial"/>
                <w:b/>
                <w:lang w:val="en-ZA"/>
              </w:rPr>
            </w:pPr>
            <w:r w:rsidRPr="00511D57">
              <w:rPr>
                <w:rFonts w:ascii="Arial" w:hAnsi="Arial" w:cs="Arial"/>
                <w:b/>
                <w:lang w:val="en-ZA"/>
              </w:rPr>
              <w:t xml:space="preserve">No. of cases </w:t>
            </w:r>
            <w:r w:rsidR="00E244FF">
              <w:rPr>
                <w:rFonts w:ascii="Arial" w:hAnsi="Arial" w:cs="Arial"/>
                <w:b/>
                <w:lang w:val="en-ZA"/>
              </w:rPr>
              <w:t xml:space="preserve">where </w:t>
            </w:r>
            <w:r w:rsidRPr="00511D57">
              <w:rPr>
                <w:rFonts w:ascii="Arial" w:hAnsi="Arial" w:cs="Arial"/>
                <w:b/>
                <w:lang w:val="en-ZA"/>
              </w:rPr>
              <w:t>public servants forfeited their administrative</w:t>
            </w:r>
            <w:r w:rsidR="00E244FF">
              <w:rPr>
                <w:rFonts w:ascii="Arial" w:hAnsi="Arial" w:cs="Arial"/>
                <w:b/>
                <w:lang w:val="en-ZA"/>
              </w:rPr>
              <w:t xml:space="preserve"> protection</w:t>
            </w:r>
          </w:p>
        </w:tc>
        <w:tc>
          <w:tcPr>
            <w:tcW w:w="2102" w:type="dxa"/>
            <w:shd w:val="clear" w:color="auto" w:fill="auto"/>
          </w:tcPr>
          <w:p w:rsidR="00251328" w:rsidRPr="00511D57" w:rsidRDefault="00251328" w:rsidP="00251328">
            <w:pPr>
              <w:spacing w:line="360" w:lineRule="auto"/>
              <w:rPr>
                <w:rFonts w:ascii="Arial" w:hAnsi="Arial" w:cs="Arial"/>
                <w:b/>
                <w:lang w:val="en-ZA"/>
              </w:rPr>
            </w:pPr>
            <w:r w:rsidRPr="00511D57">
              <w:rPr>
                <w:rFonts w:ascii="Arial" w:hAnsi="Arial" w:cs="Arial"/>
                <w:b/>
                <w:lang w:val="en-ZA"/>
              </w:rPr>
              <w:t xml:space="preserve">No. of cases </w:t>
            </w:r>
            <w:r w:rsidR="00E244FF">
              <w:rPr>
                <w:rFonts w:ascii="Arial" w:hAnsi="Arial" w:cs="Arial"/>
                <w:b/>
                <w:lang w:val="en-ZA"/>
              </w:rPr>
              <w:t xml:space="preserve"> where </w:t>
            </w:r>
            <w:r w:rsidRPr="00511D57">
              <w:rPr>
                <w:rFonts w:ascii="Arial" w:hAnsi="Arial" w:cs="Arial"/>
                <w:b/>
                <w:lang w:val="en-ZA"/>
              </w:rPr>
              <w:t>Ministers forfeited their administrative</w:t>
            </w:r>
            <w:r w:rsidR="00E244FF">
              <w:rPr>
                <w:rFonts w:ascii="Arial" w:hAnsi="Arial" w:cs="Arial"/>
                <w:b/>
                <w:lang w:val="en-ZA"/>
              </w:rPr>
              <w:t xml:space="preserve"> protection</w:t>
            </w:r>
          </w:p>
        </w:tc>
      </w:tr>
      <w:tr w:rsidR="001116E6" w:rsidRPr="00511D57" w:rsidTr="00251328">
        <w:tc>
          <w:tcPr>
            <w:tcW w:w="851" w:type="dxa"/>
            <w:shd w:val="clear" w:color="auto" w:fill="auto"/>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43</w:t>
            </w:r>
          </w:p>
        </w:tc>
        <w:tc>
          <w:tcPr>
            <w:tcW w:w="1275"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701"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R267 431.74</w:t>
            </w:r>
          </w:p>
        </w:tc>
        <w:tc>
          <w:tcPr>
            <w:tcW w:w="1418"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867"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02"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shd w:val="clear" w:color="auto" w:fill="auto"/>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5</w:t>
            </w:r>
          </w:p>
        </w:tc>
        <w:tc>
          <w:tcPr>
            <w:tcW w:w="1275"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701"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R50 015.47</w:t>
            </w:r>
          </w:p>
        </w:tc>
        <w:tc>
          <w:tcPr>
            <w:tcW w:w="1418"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867"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02"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shd w:val="clear" w:color="auto" w:fill="auto"/>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95</w:t>
            </w:r>
          </w:p>
        </w:tc>
        <w:tc>
          <w:tcPr>
            <w:tcW w:w="1275"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701"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R700 828.03</w:t>
            </w:r>
          </w:p>
        </w:tc>
        <w:tc>
          <w:tcPr>
            <w:tcW w:w="1418"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867"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02"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shd w:val="clear" w:color="auto" w:fill="auto"/>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27</w:t>
            </w:r>
          </w:p>
        </w:tc>
        <w:tc>
          <w:tcPr>
            <w:tcW w:w="1275"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701"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R289 980.35</w:t>
            </w:r>
          </w:p>
        </w:tc>
        <w:tc>
          <w:tcPr>
            <w:tcW w:w="1418"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867"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02"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shd w:val="clear" w:color="auto" w:fill="auto"/>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33</w:t>
            </w:r>
          </w:p>
        </w:tc>
        <w:tc>
          <w:tcPr>
            <w:tcW w:w="1275"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701" w:type="dxa"/>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R304 75.30</w:t>
            </w:r>
          </w:p>
        </w:tc>
        <w:tc>
          <w:tcPr>
            <w:tcW w:w="1418"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867"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02" w:type="dxa"/>
            <w:shd w:val="clear" w:color="auto" w:fill="auto"/>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Pr="001116E6" w:rsidRDefault="001116E6" w:rsidP="001116E6">
      <w:pPr>
        <w:spacing w:line="360" w:lineRule="auto"/>
        <w:jc w:val="both"/>
        <w:rPr>
          <w:rFonts w:ascii="Arial" w:hAnsi="Arial" w:cs="Arial"/>
          <w:b/>
          <w:lang w:val="en-ZA"/>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EAST LONDON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675"/>
        <w:gridCol w:w="1302"/>
        <w:gridCol w:w="1985"/>
        <w:gridCol w:w="2126"/>
      </w:tblGrid>
      <w:tr w:rsidR="00251328" w:rsidRPr="00511D57" w:rsidTr="00511D5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1328" w:rsidRPr="001116E6" w:rsidRDefault="00251328" w:rsidP="007D2118">
            <w:pPr>
              <w:spacing w:line="360" w:lineRule="auto"/>
              <w:jc w:val="both"/>
              <w:rPr>
                <w:rFonts w:ascii="Arial" w:hAnsi="Arial" w:cs="Arial"/>
                <w:b/>
                <w:lang w:val="en-ZA"/>
              </w:rPr>
            </w:pPr>
            <w:r w:rsidRPr="001116E6">
              <w:rPr>
                <w:rFonts w:ascii="Arial" w:hAnsi="Arial" w:cs="Arial"/>
                <w:b/>
                <w:lang w:val="en-ZA"/>
              </w:rPr>
              <w:t>N</w:t>
            </w:r>
            <w:r>
              <w:rPr>
                <w:rFonts w:ascii="Arial" w:hAnsi="Arial" w:cs="Arial"/>
                <w:b/>
                <w:lang w:val="en-ZA"/>
              </w:rPr>
              <w:t xml:space="preserve">o. of </w:t>
            </w:r>
            <w:r w:rsidRPr="001116E6">
              <w:rPr>
                <w:rFonts w:ascii="Arial" w:hAnsi="Arial" w:cs="Arial"/>
                <w:b/>
                <w:lang w:val="en-ZA"/>
              </w:rPr>
              <w:t>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1116E6" w:rsidRDefault="00251328" w:rsidP="007D2118">
            <w:pPr>
              <w:spacing w:line="360" w:lineRule="auto"/>
              <w:jc w:val="both"/>
              <w:rPr>
                <w:rFonts w:ascii="Arial" w:hAnsi="Arial" w:cs="Arial"/>
                <w:b/>
                <w:lang w:val="en-ZA"/>
              </w:rPr>
            </w:pPr>
            <w:r w:rsidRPr="001116E6">
              <w:rPr>
                <w:rFonts w:ascii="Arial" w:hAnsi="Arial" w:cs="Arial"/>
                <w:b/>
                <w:lang w:val="en-ZA"/>
              </w:rPr>
              <w:t>N</w:t>
            </w:r>
            <w:r>
              <w:rPr>
                <w:rFonts w:ascii="Arial" w:hAnsi="Arial" w:cs="Arial"/>
                <w:b/>
                <w:lang w:val="en-ZA"/>
              </w:rPr>
              <w:t xml:space="preserve">o. </w:t>
            </w:r>
            <w:r w:rsidRPr="001116E6">
              <w:rPr>
                <w:rFonts w:ascii="Arial" w:hAnsi="Arial" w:cs="Arial"/>
                <w:b/>
                <w:lang w:val="en-ZA"/>
              </w:rPr>
              <w:t xml:space="preserve">of Ministers </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public servants forfeited their administrative</w:t>
            </w:r>
            <w:r w:rsidR="00385518">
              <w:rPr>
                <w:rFonts w:ascii="Arial" w:hAnsi="Arial" w:cs="Arial"/>
                <w:b/>
                <w:lang w:val="en-ZA"/>
              </w:rPr>
              <w:t xml:space="preserve"> protection </w:t>
            </w:r>
            <w:r w:rsidRPr="00511D57">
              <w:rPr>
                <w:rFonts w:ascii="Arial" w:hAnsi="Arial" w:cs="Arial"/>
                <w:b/>
                <w:lang w:val="en-Z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Ministers forfeited their administrative</w:t>
            </w:r>
            <w:r w:rsidR="00385518">
              <w:rPr>
                <w:rFonts w:ascii="Arial" w:hAnsi="Arial" w:cs="Arial"/>
                <w:b/>
                <w:lang w:val="en-ZA"/>
              </w:rPr>
              <w:t xml:space="preserve"> protection</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R33 961.81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Pr="001116E6" w:rsidRDefault="001116E6" w:rsidP="001116E6">
      <w:pPr>
        <w:numPr>
          <w:ilvl w:val="0"/>
          <w:numId w:val="46"/>
        </w:numPr>
        <w:spacing w:line="360" w:lineRule="auto"/>
        <w:jc w:val="both"/>
        <w:rPr>
          <w:rFonts w:ascii="Arial" w:hAnsi="Arial" w:cs="Arial"/>
          <w:b/>
          <w:lang w:val="en-ZA"/>
        </w:rPr>
      </w:pPr>
      <w:r>
        <w:rPr>
          <w:rFonts w:ascii="Arial" w:hAnsi="Arial" w:cs="Arial"/>
          <w:b/>
          <w:lang w:val="en-ZA"/>
        </w:rPr>
        <w:br w:type="page"/>
      </w: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PRETORIA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675"/>
        <w:gridCol w:w="1270"/>
        <w:gridCol w:w="2017"/>
        <w:gridCol w:w="2126"/>
      </w:tblGrid>
      <w:tr w:rsidR="00251328" w:rsidRPr="00511D57" w:rsidTr="00511D5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1328" w:rsidRPr="001116E6" w:rsidRDefault="00251328" w:rsidP="007D2118">
            <w:pPr>
              <w:spacing w:line="360" w:lineRule="auto"/>
              <w:jc w:val="both"/>
              <w:rPr>
                <w:rFonts w:ascii="Arial" w:hAnsi="Arial" w:cs="Arial"/>
                <w:b/>
                <w:lang w:val="en-ZA"/>
              </w:rPr>
            </w:pPr>
            <w:r w:rsidRPr="001116E6">
              <w:rPr>
                <w:rFonts w:ascii="Arial" w:hAnsi="Arial" w:cs="Arial"/>
                <w:b/>
                <w:lang w:val="en-ZA"/>
              </w:rPr>
              <w:t>N</w:t>
            </w:r>
            <w:r>
              <w:rPr>
                <w:rFonts w:ascii="Arial" w:hAnsi="Arial" w:cs="Arial"/>
                <w:b/>
                <w:lang w:val="en-ZA"/>
              </w:rPr>
              <w:t xml:space="preserve">o. of </w:t>
            </w:r>
            <w:r w:rsidRPr="001116E6">
              <w:rPr>
                <w:rFonts w:ascii="Arial" w:hAnsi="Arial" w:cs="Arial"/>
                <w:b/>
                <w:lang w:val="en-ZA"/>
              </w:rPr>
              <w:t>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1116E6" w:rsidRDefault="00251328" w:rsidP="007D2118">
            <w:pPr>
              <w:spacing w:line="360" w:lineRule="auto"/>
              <w:jc w:val="both"/>
              <w:rPr>
                <w:rFonts w:ascii="Arial" w:hAnsi="Arial" w:cs="Arial"/>
                <w:b/>
                <w:lang w:val="en-ZA"/>
              </w:rPr>
            </w:pPr>
            <w:r w:rsidRPr="001116E6">
              <w:rPr>
                <w:rFonts w:ascii="Arial" w:hAnsi="Arial" w:cs="Arial"/>
                <w:b/>
                <w:lang w:val="en-ZA"/>
              </w:rPr>
              <w:t>N</w:t>
            </w:r>
            <w:r>
              <w:rPr>
                <w:rFonts w:ascii="Arial" w:hAnsi="Arial" w:cs="Arial"/>
                <w:b/>
                <w:lang w:val="en-ZA"/>
              </w:rPr>
              <w:t xml:space="preserve">o. </w:t>
            </w:r>
            <w:r w:rsidRPr="001116E6">
              <w:rPr>
                <w:rFonts w:ascii="Arial" w:hAnsi="Arial" w:cs="Arial"/>
                <w:b/>
                <w:lang w:val="en-ZA"/>
              </w:rPr>
              <w:t xml:space="preserve">of Ministers </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 xml:space="preserve">public servants forfeited their administrative </w:t>
            </w:r>
            <w:r w:rsidR="00385518">
              <w:rPr>
                <w:rFonts w:ascii="Arial" w:hAnsi="Arial" w:cs="Arial"/>
                <w:b/>
                <w:lang w:val="en-ZA"/>
              </w:rPr>
              <w:t>protection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Ministers forfeited their administrative</w:t>
            </w:r>
            <w:r w:rsidR="00385518">
              <w:rPr>
                <w:rFonts w:ascii="Arial" w:hAnsi="Arial" w:cs="Arial"/>
                <w:b/>
                <w:lang w:val="en-ZA"/>
              </w:rPr>
              <w:t xml:space="preserve"> protection</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4</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Default="001116E6" w:rsidP="001116E6">
      <w:pPr>
        <w:spacing w:line="360" w:lineRule="auto"/>
        <w:jc w:val="both"/>
        <w:rPr>
          <w:rFonts w:ascii="Arial" w:hAnsi="Arial" w:cs="Arial"/>
          <w:b/>
          <w:u w:val="single"/>
          <w:lang w:val="en-ZA"/>
        </w:rPr>
      </w:pPr>
    </w:p>
    <w:p w:rsidR="001116E6" w:rsidRPr="001116E6" w:rsidRDefault="001116E6" w:rsidP="001116E6">
      <w:pPr>
        <w:spacing w:line="360" w:lineRule="auto"/>
        <w:jc w:val="both"/>
        <w:rPr>
          <w:rFonts w:ascii="Arial" w:hAnsi="Arial" w:cs="Arial"/>
          <w:b/>
          <w:u w:val="single"/>
          <w:lang w:val="en-ZA"/>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DURBAN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76"/>
        <w:gridCol w:w="1275"/>
        <w:gridCol w:w="1675"/>
        <w:gridCol w:w="1270"/>
        <w:gridCol w:w="2017"/>
        <w:gridCol w:w="2126"/>
      </w:tblGrid>
      <w:tr w:rsidR="001116E6" w:rsidRPr="00511D57" w:rsidTr="00511D5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No. of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No. of Ministers </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public servants forfeited their administrative</w:t>
            </w:r>
            <w:r w:rsidR="00385518">
              <w:rPr>
                <w:rFonts w:ascii="Arial" w:hAnsi="Arial" w:cs="Arial"/>
                <w:b/>
                <w:lang w:val="en-ZA"/>
              </w:rPr>
              <w:t xml:space="preserve"> protection</w:t>
            </w:r>
            <w:r w:rsidRPr="00511D57">
              <w:rPr>
                <w:rFonts w:ascii="Arial" w:hAnsi="Arial" w:cs="Arial"/>
                <w:b/>
                <w:lang w:val="en-Z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Ministers forfeited their administrative</w:t>
            </w:r>
            <w:r w:rsidR="00385518">
              <w:rPr>
                <w:rFonts w:ascii="Arial" w:hAnsi="Arial" w:cs="Arial"/>
                <w:b/>
                <w:lang w:val="en-ZA"/>
              </w:rPr>
              <w:t xml:space="preserve"> protection</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Default="001116E6" w:rsidP="001116E6">
      <w:pPr>
        <w:spacing w:line="360" w:lineRule="auto"/>
        <w:jc w:val="both"/>
        <w:rPr>
          <w:rFonts w:ascii="Arial" w:hAnsi="Arial" w:cs="Arial"/>
          <w:b/>
          <w:u w:val="single"/>
          <w:lang w:val="en-ZA"/>
        </w:rPr>
      </w:pPr>
    </w:p>
    <w:p w:rsidR="00385518" w:rsidRDefault="00385518" w:rsidP="001116E6">
      <w:pPr>
        <w:spacing w:line="360" w:lineRule="auto"/>
        <w:jc w:val="both"/>
        <w:rPr>
          <w:rFonts w:ascii="Arial" w:hAnsi="Arial" w:cs="Arial"/>
          <w:b/>
          <w:u w:val="single"/>
          <w:lang w:val="en-ZA"/>
        </w:rPr>
      </w:pPr>
    </w:p>
    <w:p w:rsidR="00385518" w:rsidRDefault="00385518" w:rsidP="001116E6">
      <w:pPr>
        <w:spacing w:line="360" w:lineRule="auto"/>
        <w:jc w:val="both"/>
        <w:rPr>
          <w:rFonts w:ascii="Arial" w:hAnsi="Arial" w:cs="Arial"/>
          <w:b/>
          <w:u w:val="single"/>
          <w:lang w:val="en-ZA"/>
        </w:rPr>
      </w:pPr>
    </w:p>
    <w:p w:rsidR="00385518" w:rsidRDefault="00385518" w:rsidP="001116E6">
      <w:pPr>
        <w:spacing w:line="360" w:lineRule="auto"/>
        <w:jc w:val="both"/>
        <w:rPr>
          <w:rFonts w:ascii="Arial" w:hAnsi="Arial" w:cs="Arial"/>
          <w:b/>
          <w:u w:val="single"/>
          <w:lang w:val="en-ZA"/>
        </w:rPr>
      </w:pPr>
    </w:p>
    <w:p w:rsidR="00385518" w:rsidRPr="001116E6" w:rsidRDefault="00385518" w:rsidP="001116E6">
      <w:pPr>
        <w:spacing w:line="360" w:lineRule="auto"/>
        <w:jc w:val="both"/>
        <w:rPr>
          <w:rFonts w:ascii="Arial" w:hAnsi="Arial" w:cs="Arial"/>
          <w:b/>
          <w:u w:val="single"/>
          <w:lang w:val="en-ZA"/>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MTHATHA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675"/>
        <w:gridCol w:w="1270"/>
        <w:gridCol w:w="2017"/>
        <w:gridCol w:w="2126"/>
      </w:tblGrid>
      <w:tr w:rsidR="001116E6" w:rsidRPr="00511D57" w:rsidTr="00511D57">
        <w:trPr>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251328">
            <w:pPr>
              <w:spacing w:line="360" w:lineRule="auto"/>
              <w:jc w:val="both"/>
              <w:rPr>
                <w:rFonts w:ascii="Arial" w:hAnsi="Arial" w:cs="Arial"/>
                <w:b/>
                <w:lang w:val="en-ZA"/>
              </w:rPr>
            </w:pPr>
            <w:r w:rsidRPr="00511D57">
              <w:rPr>
                <w:rFonts w:ascii="Arial" w:hAnsi="Arial" w:cs="Arial"/>
                <w:b/>
                <w:lang w:val="en-ZA"/>
              </w:rPr>
              <w:t>N</w:t>
            </w:r>
            <w:r w:rsidR="00251328">
              <w:rPr>
                <w:rFonts w:ascii="Arial" w:hAnsi="Arial" w:cs="Arial"/>
                <w:b/>
                <w:lang w:val="en-ZA"/>
              </w:rPr>
              <w:t>o. of</w:t>
            </w:r>
            <w:r w:rsidRPr="00511D57">
              <w:rPr>
                <w:rFonts w:ascii="Arial" w:hAnsi="Arial" w:cs="Arial"/>
                <w:b/>
                <w:lang w:val="en-ZA"/>
              </w:rPr>
              <w:t xml:space="preserve">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251328">
            <w:pPr>
              <w:spacing w:line="360" w:lineRule="auto"/>
              <w:jc w:val="both"/>
              <w:rPr>
                <w:rFonts w:ascii="Arial" w:hAnsi="Arial" w:cs="Arial"/>
                <w:b/>
                <w:lang w:val="en-ZA"/>
              </w:rPr>
            </w:pPr>
            <w:r w:rsidRPr="00511D57">
              <w:rPr>
                <w:rFonts w:ascii="Arial" w:hAnsi="Arial" w:cs="Arial"/>
                <w:b/>
                <w:lang w:val="en-ZA"/>
              </w:rPr>
              <w:t>N</w:t>
            </w:r>
            <w:r w:rsidR="00251328">
              <w:rPr>
                <w:rFonts w:ascii="Arial" w:hAnsi="Arial" w:cs="Arial"/>
                <w:b/>
                <w:lang w:val="en-ZA"/>
              </w:rPr>
              <w:t xml:space="preserve">o. </w:t>
            </w:r>
            <w:r w:rsidRPr="00511D57">
              <w:rPr>
                <w:rFonts w:ascii="Arial" w:hAnsi="Arial" w:cs="Arial"/>
                <w:b/>
                <w:lang w:val="en-ZA"/>
              </w:rPr>
              <w:t xml:space="preserve">of Ministers </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No. of cases </w:t>
            </w:r>
            <w:r w:rsidR="00385518">
              <w:rPr>
                <w:rFonts w:ascii="Arial" w:hAnsi="Arial" w:cs="Arial"/>
                <w:b/>
                <w:lang w:val="en-ZA"/>
              </w:rPr>
              <w:t xml:space="preserve">where </w:t>
            </w:r>
            <w:r w:rsidRPr="00511D57">
              <w:rPr>
                <w:rFonts w:ascii="Arial" w:hAnsi="Arial" w:cs="Arial"/>
                <w:b/>
                <w:lang w:val="en-ZA"/>
              </w:rPr>
              <w:t>public servants forfeited their administrative</w:t>
            </w:r>
            <w:r w:rsidR="00385518">
              <w:rPr>
                <w:rFonts w:ascii="Arial" w:hAnsi="Arial" w:cs="Arial"/>
                <w:b/>
                <w:lang w:val="en-ZA"/>
              </w:rPr>
              <w:t xml:space="preserve"> protection </w:t>
            </w:r>
            <w:r w:rsidRPr="00511D57">
              <w:rPr>
                <w:rFonts w:ascii="Arial" w:hAnsi="Arial" w:cs="Arial"/>
                <w:b/>
                <w:lang w:val="en-Z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No. of cases </w:t>
            </w:r>
            <w:r w:rsidR="00AD4DFF">
              <w:rPr>
                <w:rFonts w:ascii="Arial" w:hAnsi="Arial" w:cs="Arial"/>
                <w:b/>
                <w:lang w:val="en-ZA"/>
              </w:rPr>
              <w:t xml:space="preserve"> where </w:t>
            </w:r>
            <w:r w:rsidRPr="00511D57">
              <w:rPr>
                <w:rFonts w:ascii="Arial" w:hAnsi="Arial" w:cs="Arial"/>
                <w:b/>
                <w:lang w:val="en-ZA"/>
              </w:rPr>
              <w:t>Ministers forfeited their administrative</w:t>
            </w:r>
            <w:r w:rsidR="00AD4DFF">
              <w:rPr>
                <w:rFonts w:ascii="Arial" w:hAnsi="Arial" w:cs="Arial"/>
                <w:b/>
                <w:lang w:val="en-ZA"/>
              </w:rPr>
              <w:t xml:space="preserve"> protection</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Pr="001116E6" w:rsidRDefault="001116E6" w:rsidP="001116E6">
      <w:pPr>
        <w:spacing w:line="360" w:lineRule="auto"/>
        <w:jc w:val="both"/>
        <w:rPr>
          <w:rFonts w:ascii="Arial" w:hAnsi="Arial" w:cs="Arial"/>
          <w:b/>
          <w:u w:val="single"/>
          <w:lang w:val="en-ZA"/>
        </w:rPr>
      </w:pPr>
    </w:p>
    <w:p w:rsidR="001116E6" w:rsidRPr="001116E6" w:rsidRDefault="001116E6" w:rsidP="001116E6">
      <w:pPr>
        <w:spacing w:line="360" w:lineRule="auto"/>
        <w:jc w:val="both"/>
        <w:rPr>
          <w:rFonts w:ascii="Arial" w:hAnsi="Arial" w:cs="Arial"/>
          <w:b/>
          <w:u w:val="single"/>
          <w:lang w:val="en-ZA"/>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KIMBERL</w:t>
      </w:r>
      <w:r w:rsidR="00AD4DFF">
        <w:rPr>
          <w:rFonts w:ascii="Arial" w:hAnsi="Arial" w:cs="Arial"/>
          <w:b/>
          <w:lang w:val="en-ZA"/>
        </w:rPr>
        <w:t>E</w:t>
      </w:r>
      <w:r w:rsidRPr="001116E6">
        <w:rPr>
          <w:rFonts w:ascii="Arial" w:hAnsi="Arial" w:cs="Arial"/>
          <w:b/>
          <w:lang w:val="en-ZA"/>
        </w:rPr>
        <w:t xml:space="preserve">Y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675"/>
        <w:gridCol w:w="1270"/>
        <w:gridCol w:w="2017"/>
        <w:gridCol w:w="2126"/>
      </w:tblGrid>
      <w:tr w:rsidR="001116E6" w:rsidRPr="00511D57" w:rsidTr="00511D5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w:t>
            </w:r>
            <w:r w:rsidR="00121E59" w:rsidRPr="00511D57">
              <w:rPr>
                <w:rFonts w:ascii="Arial" w:hAnsi="Arial" w:cs="Arial"/>
                <w:b/>
                <w:lang w:val="en-ZA"/>
              </w:rPr>
              <w:t>o. of</w:t>
            </w:r>
            <w:r w:rsidRPr="00511D57">
              <w:rPr>
                <w:rFonts w:ascii="Arial" w:hAnsi="Arial" w:cs="Arial"/>
                <w:b/>
                <w:lang w:val="en-ZA"/>
              </w:rPr>
              <w:t xml:space="preserve">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w:t>
            </w:r>
            <w:r w:rsidR="00121E59" w:rsidRPr="00511D57">
              <w:rPr>
                <w:rFonts w:ascii="Arial" w:hAnsi="Arial" w:cs="Arial"/>
                <w:b/>
                <w:lang w:val="en-ZA"/>
              </w:rPr>
              <w:t>o.</w:t>
            </w:r>
            <w:r w:rsidRPr="00511D57">
              <w:rPr>
                <w:rFonts w:ascii="Arial" w:hAnsi="Arial" w:cs="Arial"/>
                <w:b/>
                <w:lang w:val="en-ZA"/>
              </w:rPr>
              <w:t xml:space="preserve"> of Ministers </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F82413" w:rsidP="00511D57">
            <w:pPr>
              <w:spacing w:line="360" w:lineRule="auto"/>
              <w:jc w:val="both"/>
              <w:rPr>
                <w:rFonts w:ascii="Arial" w:hAnsi="Arial" w:cs="Arial"/>
                <w:b/>
                <w:lang w:val="en-ZA"/>
              </w:rPr>
            </w:pPr>
            <w:r w:rsidRPr="00511D57">
              <w:rPr>
                <w:rFonts w:ascii="Arial" w:hAnsi="Arial" w:cs="Arial"/>
                <w:b/>
                <w:lang w:val="en-ZA"/>
              </w:rPr>
              <w:t>No.</w:t>
            </w:r>
            <w:r w:rsidR="001116E6" w:rsidRPr="00511D57">
              <w:rPr>
                <w:rFonts w:ascii="Arial" w:hAnsi="Arial" w:cs="Arial"/>
                <w:b/>
                <w:lang w:val="en-ZA"/>
              </w:rPr>
              <w:t xml:space="preserve"> of cases </w:t>
            </w:r>
            <w:r w:rsidR="00AD4DFF">
              <w:rPr>
                <w:rFonts w:ascii="Arial" w:hAnsi="Arial" w:cs="Arial"/>
                <w:b/>
                <w:lang w:val="en-ZA"/>
              </w:rPr>
              <w:t xml:space="preserve">where </w:t>
            </w:r>
            <w:r w:rsidR="001116E6" w:rsidRPr="00511D57">
              <w:rPr>
                <w:rFonts w:ascii="Arial" w:hAnsi="Arial" w:cs="Arial"/>
                <w:b/>
                <w:lang w:val="en-ZA"/>
              </w:rPr>
              <w:t>public servants forfeited their administrative</w:t>
            </w:r>
            <w:r w:rsidR="00AD4DFF">
              <w:rPr>
                <w:rFonts w:ascii="Arial" w:hAnsi="Arial" w:cs="Arial"/>
                <w:b/>
                <w:lang w:val="en-ZA"/>
              </w:rPr>
              <w:t xml:space="preserve"> protection</w:t>
            </w:r>
            <w:r w:rsidR="001116E6" w:rsidRPr="00511D57">
              <w:rPr>
                <w:rFonts w:ascii="Arial" w:hAnsi="Arial" w:cs="Arial"/>
                <w:b/>
                <w:lang w:val="en-Z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w:t>
            </w:r>
            <w:r w:rsidR="00F82413" w:rsidRPr="00511D57">
              <w:rPr>
                <w:rFonts w:ascii="Arial" w:hAnsi="Arial" w:cs="Arial"/>
                <w:b/>
                <w:lang w:val="en-ZA"/>
              </w:rPr>
              <w:t>o.</w:t>
            </w:r>
            <w:r w:rsidRPr="00511D57">
              <w:rPr>
                <w:rFonts w:ascii="Arial" w:hAnsi="Arial" w:cs="Arial"/>
                <w:b/>
                <w:lang w:val="en-ZA"/>
              </w:rPr>
              <w:t xml:space="preserve"> of cases </w:t>
            </w:r>
            <w:r w:rsidR="00AD4DFF">
              <w:rPr>
                <w:rFonts w:ascii="Arial" w:hAnsi="Arial" w:cs="Arial"/>
                <w:b/>
                <w:lang w:val="en-ZA"/>
              </w:rPr>
              <w:t xml:space="preserve">where </w:t>
            </w:r>
            <w:r w:rsidRPr="00511D57">
              <w:rPr>
                <w:rFonts w:ascii="Arial" w:hAnsi="Arial" w:cs="Arial"/>
                <w:b/>
                <w:lang w:val="en-ZA"/>
              </w:rPr>
              <w:t>Ministers forfeited their administrative</w:t>
            </w:r>
            <w:r w:rsidR="00AD4DFF">
              <w:rPr>
                <w:rFonts w:ascii="Arial" w:hAnsi="Arial" w:cs="Arial"/>
                <w:b/>
                <w:lang w:val="en-ZA"/>
              </w:rPr>
              <w:t xml:space="preserve"> protection</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Default="001116E6" w:rsidP="001116E6">
      <w:pPr>
        <w:spacing w:line="360" w:lineRule="auto"/>
        <w:jc w:val="both"/>
        <w:rPr>
          <w:rFonts w:ascii="Arial" w:hAnsi="Arial" w:cs="Arial"/>
          <w:b/>
          <w:u w:val="single"/>
          <w:lang w:val="en-ZA"/>
        </w:rPr>
      </w:pPr>
    </w:p>
    <w:p w:rsidR="00AD4DFF" w:rsidRPr="004D4BE7" w:rsidRDefault="00660EFC" w:rsidP="004D4BE7">
      <w:pPr>
        <w:pStyle w:val="Default"/>
        <w:spacing w:before="120" w:after="120" w:line="360" w:lineRule="auto"/>
        <w:jc w:val="both"/>
        <w:rPr>
          <w:rFonts w:ascii="Arial" w:hAnsi="Arial" w:cs="Arial"/>
        </w:rPr>
      </w:pPr>
      <w:r>
        <w:rPr>
          <w:rFonts w:ascii="Arial" w:hAnsi="Arial" w:cs="Arial"/>
        </w:rPr>
        <w:t xml:space="preserve">Regarding the Kimberley State Attorneys’ Office, it has been reported that no records were kept regarding public servants. Nor were records kept of Ministers who </w:t>
      </w:r>
      <w:r w:rsidR="00F55919">
        <w:rPr>
          <w:rFonts w:ascii="Arial" w:hAnsi="Arial" w:cs="Arial"/>
        </w:rPr>
        <w:t>received</w:t>
      </w:r>
      <w:r>
        <w:rPr>
          <w:rFonts w:ascii="Arial" w:hAnsi="Arial" w:cs="Arial"/>
        </w:rPr>
        <w:t xml:space="preserve"> legal representation in the scope of their duties.     </w:t>
      </w: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MA</w:t>
      </w:r>
      <w:r w:rsidR="00601D9C">
        <w:rPr>
          <w:rFonts w:ascii="Arial" w:hAnsi="Arial" w:cs="Arial"/>
          <w:b/>
          <w:lang w:val="en-ZA"/>
        </w:rPr>
        <w:t>H</w:t>
      </w:r>
      <w:r w:rsidRPr="001116E6">
        <w:rPr>
          <w:rFonts w:ascii="Arial" w:hAnsi="Arial" w:cs="Arial"/>
          <w:b/>
          <w:lang w:val="en-ZA"/>
        </w:rPr>
        <w:t>IKENG</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675"/>
        <w:gridCol w:w="1270"/>
        <w:gridCol w:w="2017"/>
        <w:gridCol w:w="2126"/>
      </w:tblGrid>
      <w:tr w:rsidR="001116E6" w:rsidRPr="00511D57" w:rsidTr="00511D5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w:t>
            </w:r>
            <w:r w:rsidR="00121E59" w:rsidRPr="00511D57">
              <w:rPr>
                <w:rFonts w:ascii="Arial" w:hAnsi="Arial" w:cs="Arial"/>
                <w:b/>
                <w:lang w:val="en-ZA"/>
              </w:rPr>
              <w:t>o. of</w:t>
            </w:r>
            <w:r w:rsidRPr="00511D57">
              <w:rPr>
                <w:rFonts w:ascii="Arial" w:hAnsi="Arial" w:cs="Arial"/>
                <w:b/>
                <w:lang w:val="en-ZA"/>
              </w:rPr>
              <w:t xml:space="preserve">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w:t>
            </w:r>
            <w:r w:rsidR="00121E59" w:rsidRPr="00511D57">
              <w:rPr>
                <w:rFonts w:ascii="Arial" w:hAnsi="Arial" w:cs="Arial"/>
                <w:b/>
                <w:lang w:val="en-ZA"/>
              </w:rPr>
              <w:t xml:space="preserve">o. </w:t>
            </w:r>
            <w:r w:rsidRPr="00511D57">
              <w:rPr>
                <w:rFonts w:ascii="Arial" w:hAnsi="Arial" w:cs="Arial"/>
                <w:b/>
                <w:lang w:val="en-ZA"/>
              </w:rPr>
              <w:t xml:space="preserve">of Ministers </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21E59" w:rsidP="00511D57">
            <w:pPr>
              <w:spacing w:line="360" w:lineRule="auto"/>
              <w:jc w:val="both"/>
              <w:rPr>
                <w:rFonts w:ascii="Arial" w:hAnsi="Arial" w:cs="Arial"/>
                <w:b/>
                <w:lang w:val="en-ZA"/>
              </w:rPr>
            </w:pPr>
            <w:r w:rsidRPr="00511D57">
              <w:rPr>
                <w:rFonts w:ascii="Arial" w:hAnsi="Arial" w:cs="Arial"/>
                <w:b/>
                <w:lang w:val="en-ZA"/>
              </w:rPr>
              <w:t>No.</w:t>
            </w:r>
            <w:r w:rsidR="001116E6" w:rsidRPr="00511D57">
              <w:rPr>
                <w:rFonts w:ascii="Arial" w:hAnsi="Arial" w:cs="Arial"/>
                <w:b/>
                <w:lang w:val="en-ZA"/>
              </w:rPr>
              <w:t xml:space="preserve"> of cases </w:t>
            </w:r>
            <w:r w:rsidR="00AD4DFF">
              <w:rPr>
                <w:rFonts w:ascii="Arial" w:hAnsi="Arial" w:cs="Arial"/>
                <w:b/>
                <w:lang w:val="en-ZA"/>
              </w:rPr>
              <w:t xml:space="preserve">where </w:t>
            </w:r>
            <w:r w:rsidR="001116E6" w:rsidRPr="00511D57">
              <w:rPr>
                <w:rFonts w:ascii="Arial" w:hAnsi="Arial" w:cs="Arial"/>
                <w:b/>
                <w:lang w:val="en-ZA"/>
              </w:rPr>
              <w:t>public servants forfeited their administrative</w:t>
            </w:r>
            <w:r w:rsidR="00AD4DFF">
              <w:rPr>
                <w:rFonts w:ascii="Arial" w:hAnsi="Arial" w:cs="Arial"/>
                <w:b/>
                <w:lang w:val="en-ZA"/>
              </w:rPr>
              <w:t xml:space="preserve"> protection</w:t>
            </w:r>
            <w:r w:rsidR="001116E6" w:rsidRPr="00511D57">
              <w:rPr>
                <w:rFonts w:ascii="Arial" w:hAnsi="Arial" w:cs="Arial"/>
                <w:b/>
                <w:lang w:val="en-ZA"/>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b/>
                <w:lang w:val="en-ZA"/>
              </w:rPr>
            </w:pPr>
            <w:r w:rsidRPr="00511D57">
              <w:rPr>
                <w:rFonts w:ascii="Arial" w:hAnsi="Arial" w:cs="Arial"/>
                <w:b/>
                <w:lang w:val="en-ZA"/>
              </w:rPr>
              <w:t>N</w:t>
            </w:r>
            <w:r w:rsidR="00121E59" w:rsidRPr="00511D57">
              <w:rPr>
                <w:rFonts w:ascii="Arial" w:hAnsi="Arial" w:cs="Arial"/>
                <w:b/>
                <w:lang w:val="en-ZA"/>
              </w:rPr>
              <w:t>o.</w:t>
            </w:r>
            <w:r w:rsidRPr="00511D57">
              <w:rPr>
                <w:rFonts w:ascii="Arial" w:hAnsi="Arial" w:cs="Arial"/>
                <w:b/>
                <w:lang w:val="en-ZA"/>
              </w:rPr>
              <w:t xml:space="preserve"> of cases </w:t>
            </w:r>
            <w:r w:rsidR="00AD4DFF">
              <w:rPr>
                <w:rFonts w:ascii="Arial" w:hAnsi="Arial" w:cs="Arial"/>
                <w:b/>
                <w:lang w:val="en-ZA"/>
              </w:rPr>
              <w:t xml:space="preserve">where </w:t>
            </w:r>
            <w:r w:rsidRPr="00511D57">
              <w:rPr>
                <w:rFonts w:ascii="Arial" w:hAnsi="Arial" w:cs="Arial"/>
                <w:b/>
                <w:lang w:val="en-ZA"/>
              </w:rPr>
              <w:t>Ministers forfeited their administrative</w:t>
            </w:r>
            <w:r w:rsidR="00AD4DFF">
              <w:rPr>
                <w:rFonts w:ascii="Arial" w:hAnsi="Arial" w:cs="Arial"/>
                <w:b/>
                <w:lang w:val="en-ZA"/>
              </w:rPr>
              <w:t xml:space="preserve"> protection</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r w:rsidR="001116E6"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116E6" w:rsidRPr="00511D57" w:rsidRDefault="001116E6" w:rsidP="00511D57">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6E6" w:rsidRPr="00511D57" w:rsidRDefault="001116E6" w:rsidP="00251328">
            <w:pPr>
              <w:spacing w:line="360" w:lineRule="auto"/>
              <w:jc w:val="center"/>
              <w:rPr>
                <w:rFonts w:ascii="Arial" w:hAnsi="Arial" w:cs="Arial"/>
                <w:lang w:val="en-ZA"/>
              </w:rPr>
            </w:pPr>
            <w:r w:rsidRPr="00511D57">
              <w:rPr>
                <w:rFonts w:ascii="Arial" w:hAnsi="Arial" w:cs="Arial"/>
                <w:lang w:val="en-ZA"/>
              </w:rPr>
              <w:t>None</w:t>
            </w:r>
          </w:p>
        </w:tc>
      </w:tr>
    </w:tbl>
    <w:p w:rsidR="001116E6" w:rsidRDefault="001116E6" w:rsidP="001116E6">
      <w:pPr>
        <w:spacing w:line="360" w:lineRule="auto"/>
        <w:jc w:val="both"/>
        <w:rPr>
          <w:rFonts w:ascii="Arial" w:hAnsi="Arial" w:cs="Arial"/>
          <w:b/>
          <w:u w:val="single"/>
          <w:lang w:val="en-ZA"/>
        </w:rPr>
      </w:pPr>
    </w:p>
    <w:p w:rsidR="00660EFC" w:rsidRDefault="00660EFC" w:rsidP="00660EFC">
      <w:pPr>
        <w:pStyle w:val="Default"/>
        <w:spacing w:before="120" w:after="120" w:line="360" w:lineRule="auto"/>
        <w:jc w:val="both"/>
        <w:rPr>
          <w:rFonts w:ascii="Arial" w:hAnsi="Arial" w:cs="Arial"/>
        </w:rPr>
      </w:pPr>
      <w:r>
        <w:rPr>
          <w:rFonts w:ascii="Arial" w:hAnsi="Arial" w:cs="Arial"/>
        </w:rPr>
        <w:t>Regarding the Mahikeng State Attorneys’ Office, the information as received from the Office of the State Attorney, is that the State Attorneys have represented Ministers in all claims. This was however in the official (normal) capacity and not in their personal capacity. The State Attorney, Mahikeng is therefore not aware of any Minister who forfeited administrative protection. Therefore the Head of the Office informs me that there are no such cases.</w:t>
      </w:r>
    </w:p>
    <w:p w:rsidR="00660EFC" w:rsidRDefault="00660EFC" w:rsidP="00660EFC">
      <w:pPr>
        <w:pStyle w:val="Default"/>
        <w:spacing w:before="120" w:after="120" w:line="360" w:lineRule="auto"/>
        <w:jc w:val="both"/>
        <w:rPr>
          <w:rFonts w:ascii="Arial" w:hAnsi="Arial" w:cs="Arial"/>
        </w:rPr>
      </w:pPr>
    </w:p>
    <w:p w:rsidR="00660EFC" w:rsidRDefault="00660EFC" w:rsidP="00660EFC">
      <w:pPr>
        <w:pStyle w:val="Default"/>
        <w:spacing w:before="120" w:after="120" w:line="360" w:lineRule="auto"/>
        <w:jc w:val="both"/>
        <w:rPr>
          <w:rFonts w:ascii="Arial" w:hAnsi="Arial" w:cs="Arial"/>
        </w:rPr>
      </w:pPr>
      <w:r>
        <w:rPr>
          <w:rFonts w:ascii="Arial" w:hAnsi="Arial" w:cs="Arial"/>
        </w:rPr>
        <w:t>The Office of the State Attorney has also represented individual officials in their official capacities who were cited as co-defendants with the relevant Minister. The State Attorney is not aware of any of those officials who forfeited their administrative protection. Therefore the Head of Office informs me that there are no such cases.</w:t>
      </w:r>
    </w:p>
    <w:p w:rsidR="00660EFC" w:rsidRDefault="00660EFC" w:rsidP="00660EFC">
      <w:pPr>
        <w:pStyle w:val="Default"/>
        <w:spacing w:before="120" w:after="120" w:line="360" w:lineRule="auto"/>
        <w:jc w:val="both"/>
        <w:rPr>
          <w:rFonts w:ascii="Arial" w:hAnsi="Arial" w:cs="Arial"/>
        </w:rPr>
      </w:pPr>
    </w:p>
    <w:p w:rsidR="00660EFC" w:rsidRDefault="00660EFC" w:rsidP="00660EFC">
      <w:pPr>
        <w:pStyle w:val="Default"/>
        <w:spacing w:before="120" w:after="120" w:line="360" w:lineRule="auto"/>
        <w:jc w:val="both"/>
        <w:rPr>
          <w:rFonts w:ascii="Arial" w:hAnsi="Arial" w:cs="Arial"/>
        </w:rPr>
      </w:pPr>
      <w:r>
        <w:rPr>
          <w:rFonts w:ascii="Arial" w:hAnsi="Arial" w:cs="Arial"/>
        </w:rPr>
        <w:t>As the Office has not kept statistics of this nature before, it is not possible to provide a breakdown of the costs incurred in respect of all these cases. In this respect, I am informed that there are no costs to report on, as there were no such cases where the Minister, Member of the Executive Council (MEC) or Officials have applied for legal representation in their personal capacity.</w:t>
      </w:r>
    </w:p>
    <w:p w:rsidR="00660EFC" w:rsidRPr="001116E6" w:rsidRDefault="00660EFC" w:rsidP="001116E6">
      <w:pPr>
        <w:spacing w:line="360" w:lineRule="auto"/>
        <w:jc w:val="both"/>
        <w:rPr>
          <w:rFonts w:ascii="Arial" w:hAnsi="Arial" w:cs="Arial"/>
          <w:b/>
          <w:u w:val="single"/>
          <w:lang w:val="en-ZA"/>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251328">
        <w:rPr>
          <w:rFonts w:ascii="Arial" w:hAnsi="Arial" w:cs="Arial"/>
          <w:b/>
          <w:lang w:val="en-ZA"/>
        </w:rPr>
        <w:t>:</w:t>
      </w:r>
      <w:r w:rsidRPr="001116E6">
        <w:rPr>
          <w:rFonts w:ascii="Arial" w:hAnsi="Arial" w:cs="Arial"/>
          <w:b/>
          <w:lang w:val="en-ZA"/>
        </w:rPr>
        <w:t xml:space="preserve"> JOHANNESBURG</w:t>
      </w:r>
    </w:p>
    <w:tbl>
      <w:tblPr>
        <w:tblW w:w="10490" w:type="dxa"/>
        <w:tblInd w:w="-459" w:type="dxa"/>
        <w:tblLayout w:type="fixed"/>
        <w:tblLook w:val="04A0"/>
      </w:tblPr>
      <w:tblGrid>
        <w:gridCol w:w="851"/>
        <w:gridCol w:w="1276"/>
        <w:gridCol w:w="1275"/>
        <w:gridCol w:w="1843"/>
        <w:gridCol w:w="1276"/>
        <w:gridCol w:w="1984"/>
        <w:gridCol w:w="1985"/>
      </w:tblGrid>
      <w:tr w:rsidR="00121E59" w:rsidRPr="001116E6" w:rsidTr="00121E59">
        <w:tc>
          <w:tcPr>
            <w:tcW w:w="851"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 xml:space="preserve">o. of </w:t>
            </w:r>
            <w:r w:rsidRPr="001116E6">
              <w:rPr>
                <w:rFonts w:ascii="Arial" w:hAnsi="Arial" w:cs="Arial"/>
                <w:b/>
                <w:lang w:val="en-ZA"/>
              </w:rPr>
              <w:t>Public servants</w:t>
            </w:r>
          </w:p>
        </w:tc>
        <w:tc>
          <w:tcPr>
            <w:tcW w:w="1275"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 xml:space="preserve">o. </w:t>
            </w:r>
            <w:r w:rsidRPr="001116E6">
              <w:rPr>
                <w:rFonts w:ascii="Arial" w:hAnsi="Arial" w:cs="Arial"/>
                <w:b/>
                <w:lang w:val="en-ZA"/>
              </w:rPr>
              <w:t xml:space="preserve">of Ministers </w:t>
            </w:r>
          </w:p>
        </w:tc>
        <w:tc>
          <w:tcPr>
            <w:tcW w:w="1843"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Costs for public servants </w:t>
            </w:r>
          </w:p>
        </w:tc>
        <w:tc>
          <w:tcPr>
            <w:tcW w:w="1276"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Costs for Ministers </w:t>
            </w:r>
          </w:p>
        </w:tc>
        <w:tc>
          <w:tcPr>
            <w:tcW w:w="1984" w:type="dxa"/>
            <w:tcBorders>
              <w:top w:val="single" w:sz="4" w:space="0" w:color="auto"/>
              <w:left w:val="single" w:sz="4" w:space="0" w:color="auto"/>
              <w:bottom w:val="single" w:sz="4" w:space="0" w:color="auto"/>
              <w:right w:val="single" w:sz="4" w:space="0" w:color="auto"/>
            </w:tcBorders>
            <w:hideMark/>
          </w:tcPr>
          <w:p w:rsidR="001116E6" w:rsidRPr="001116E6" w:rsidRDefault="00121E59" w:rsidP="001116E6">
            <w:pPr>
              <w:spacing w:line="360" w:lineRule="auto"/>
              <w:jc w:val="both"/>
              <w:rPr>
                <w:rFonts w:ascii="Arial" w:hAnsi="Arial" w:cs="Arial"/>
                <w:b/>
                <w:lang w:val="en-ZA"/>
              </w:rPr>
            </w:pPr>
            <w:r>
              <w:rPr>
                <w:rFonts w:ascii="Arial" w:hAnsi="Arial" w:cs="Arial"/>
                <w:b/>
                <w:lang w:val="en-ZA"/>
              </w:rPr>
              <w:t>No.</w:t>
            </w:r>
            <w:r w:rsidR="001116E6" w:rsidRPr="001116E6">
              <w:rPr>
                <w:rFonts w:ascii="Arial" w:hAnsi="Arial" w:cs="Arial"/>
                <w:b/>
                <w:lang w:val="en-ZA"/>
              </w:rPr>
              <w:t xml:space="preserve"> of cases </w:t>
            </w:r>
            <w:r w:rsidR="00AD4DFF">
              <w:rPr>
                <w:rFonts w:ascii="Arial" w:hAnsi="Arial" w:cs="Arial"/>
                <w:b/>
                <w:lang w:val="en-ZA"/>
              </w:rPr>
              <w:t xml:space="preserve">where </w:t>
            </w:r>
            <w:r w:rsidR="001116E6" w:rsidRPr="001116E6">
              <w:rPr>
                <w:rFonts w:ascii="Arial" w:hAnsi="Arial" w:cs="Arial"/>
                <w:b/>
                <w:lang w:val="en-ZA"/>
              </w:rPr>
              <w:t>public servants forfeited their administrative</w:t>
            </w:r>
            <w:r w:rsidR="00AD4DFF">
              <w:rPr>
                <w:rFonts w:ascii="Arial" w:hAnsi="Arial" w:cs="Arial"/>
                <w:b/>
                <w:lang w:val="en-ZA"/>
              </w:rPr>
              <w:t xml:space="preserve"> protection</w:t>
            </w:r>
            <w:r w:rsidR="001116E6" w:rsidRPr="001116E6">
              <w:rPr>
                <w:rFonts w:ascii="Arial" w:hAnsi="Arial" w:cs="Arial"/>
                <w:b/>
                <w:lang w:val="en-ZA"/>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116E6" w:rsidRPr="001116E6" w:rsidRDefault="00121E59" w:rsidP="001116E6">
            <w:pPr>
              <w:spacing w:line="360" w:lineRule="auto"/>
              <w:jc w:val="both"/>
              <w:rPr>
                <w:rFonts w:ascii="Arial" w:hAnsi="Arial" w:cs="Arial"/>
                <w:b/>
                <w:lang w:val="en-ZA"/>
              </w:rPr>
            </w:pPr>
            <w:r>
              <w:rPr>
                <w:rFonts w:ascii="Arial" w:hAnsi="Arial" w:cs="Arial"/>
                <w:b/>
                <w:lang w:val="en-ZA"/>
              </w:rPr>
              <w:t>No.</w:t>
            </w:r>
            <w:r w:rsidR="001116E6" w:rsidRPr="001116E6">
              <w:rPr>
                <w:rFonts w:ascii="Arial" w:hAnsi="Arial" w:cs="Arial"/>
                <w:b/>
                <w:lang w:val="en-ZA"/>
              </w:rPr>
              <w:t xml:space="preserve"> of cases </w:t>
            </w:r>
            <w:r w:rsidR="00AD4DFF">
              <w:rPr>
                <w:rFonts w:ascii="Arial" w:hAnsi="Arial" w:cs="Arial"/>
                <w:b/>
                <w:lang w:val="en-ZA"/>
              </w:rPr>
              <w:t xml:space="preserve">where </w:t>
            </w:r>
            <w:r w:rsidR="001116E6" w:rsidRPr="001116E6">
              <w:rPr>
                <w:rFonts w:ascii="Arial" w:hAnsi="Arial" w:cs="Arial"/>
                <w:b/>
                <w:lang w:val="en-ZA"/>
              </w:rPr>
              <w:t>Ministers forfeited their administrative</w:t>
            </w:r>
            <w:r w:rsidR="00AD4DFF">
              <w:rPr>
                <w:rFonts w:ascii="Arial" w:hAnsi="Arial" w:cs="Arial"/>
                <w:b/>
                <w:lang w:val="en-ZA"/>
              </w:rPr>
              <w:t xml:space="preserve"> protection</w:t>
            </w:r>
          </w:p>
        </w:tc>
      </w:tr>
      <w:tr w:rsidR="00121E59"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R1 188 735.00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21E59"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R1 462 626.00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21E59"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R395 845.00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21E59"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R222 566.00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21E59"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R22 292.00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bl>
    <w:p w:rsidR="001116E6" w:rsidRDefault="001116E6" w:rsidP="001116E6">
      <w:pPr>
        <w:spacing w:line="360" w:lineRule="auto"/>
        <w:jc w:val="both"/>
        <w:rPr>
          <w:rFonts w:ascii="Arial" w:hAnsi="Arial" w:cs="Arial"/>
          <w:b/>
          <w:u w:val="single"/>
          <w:lang w:val="en-ZA"/>
        </w:rPr>
      </w:pPr>
    </w:p>
    <w:p w:rsidR="00AD4DFF" w:rsidRDefault="00AD4DFF" w:rsidP="001116E6">
      <w:pPr>
        <w:spacing w:line="360" w:lineRule="auto"/>
        <w:jc w:val="both"/>
        <w:rPr>
          <w:rFonts w:ascii="Arial" w:hAnsi="Arial" w:cs="Arial"/>
          <w:b/>
          <w:u w:val="single"/>
          <w:lang w:val="en-ZA"/>
        </w:rPr>
      </w:pPr>
    </w:p>
    <w:p w:rsidR="00AD4DFF" w:rsidRPr="001116E6" w:rsidRDefault="00AD4DFF" w:rsidP="001116E6">
      <w:pPr>
        <w:spacing w:line="360" w:lineRule="auto"/>
        <w:jc w:val="both"/>
        <w:rPr>
          <w:rFonts w:ascii="Arial" w:hAnsi="Arial" w:cs="Arial"/>
          <w:b/>
          <w:u w:val="single"/>
          <w:lang w:val="en-ZA"/>
        </w:rPr>
      </w:pPr>
    </w:p>
    <w:p w:rsidR="001116E6" w:rsidRPr="001116E6" w:rsidRDefault="001116E6" w:rsidP="001116E6">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sidR="00AD4DFF">
        <w:rPr>
          <w:rFonts w:ascii="Arial" w:hAnsi="Arial" w:cs="Arial"/>
          <w:b/>
          <w:lang w:val="en-ZA"/>
        </w:rPr>
        <w:t>:</w:t>
      </w:r>
      <w:r w:rsidRPr="001116E6">
        <w:rPr>
          <w:rFonts w:ascii="Arial" w:hAnsi="Arial" w:cs="Arial"/>
          <w:b/>
          <w:lang w:val="en-ZA"/>
        </w:rPr>
        <w:t xml:space="preserve"> CAPE TOWN </w:t>
      </w:r>
    </w:p>
    <w:tbl>
      <w:tblPr>
        <w:tblW w:w="10490" w:type="dxa"/>
        <w:tblInd w:w="-459" w:type="dxa"/>
        <w:tblLayout w:type="fixed"/>
        <w:tblLook w:val="04A0"/>
      </w:tblPr>
      <w:tblGrid>
        <w:gridCol w:w="851"/>
        <w:gridCol w:w="1276"/>
        <w:gridCol w:w="1275"/>
        <w:gridCol w:w="1843"/>
        <w:gridCol w:w="1276"/>
        <w:gridCol w:w="1984"/>
        <w:gridCol w:w="1985"/>
      </w:tblGrid>
      <w:tr w:rsidR="001116E6" w:rsidRPr="001116E6" w:rsidTr="00121E59">
        <w:tc>
          <w:tcPr>
            <w:tcW w:w="851"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 xml:space="preserve">o. of </w:t>
            </w:r>
            <w:r w:rsidRPr="001116E6">
              <w:rPr>
                <w:rFonts w:ascii="Arial" w:hAnsi="Arial" w:cs="Arial"/>
                <w:b/>
                <w:lang w:val="en-ZA"/>
              </w:rPr>
              <w:t>Public servants</w:t>
            </w:r>
          </w:p>
        </w:tc>
        <w:tc>
          <w:tcPr>
            <w:tcW w:w="1275"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 xml:space="preserve">o. </w:t>
            </w:r>
            <w:r w:rsidRPr="001116E6">
              <w:rPr>
                <w:rFonts w:ascii="Arial" w:hAnsi="Arial" w:cs="Arial"/>
                <w:b/>
                <w:lang w:val="en-ZA"/>
              </w:rPr>
              <w:t xml:space="preserve">of Ministers </w:t>
            </w:r>
          </w:p>
        </w:tc>
        <w:tc>
          <w:tcPr>
            <w:tcW w:w="1843"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Costs for public servants </w:t>
            </w:r>
          </w:p>
        </w:tc>
        <w:tc>
          <w:tcPr>
            <w:tcW w:w="1276"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Costs for Ministers </w:t>
            </w:r>
          </w:p>
        </w:tc>
        <w:tc>
          <w:tcPr>
            <w:tcW w:w="1984" w:type="dxa"/>
            <w:tcBorders>
              <w:top w:val="single" w:sz="4" w:space="0" w:color="auto"/>
              <w:left w:val="single" w:sz="4" w:space="0" w:color="auto"/>
              <w:bottom w:val="single" w:sz="4" w:space="0" w:color="auto"/>
              <w:right w:val="single" w:sz="4" w:space="0" w:color="auto"/>
            </w:tcBorders>
            <w:hideMark/>
          </w:tcPr>
          <w:p w:rsidR="001116E6" w:rsidRPr="001116E6" w:rsidRDefault="00121E59" w:rsidP="001116E6">
            <w:pPr>
              <w:spacing w:line="360" w:lineRule="auto"/>
              <w:jc w:val="both"/>
              <w:rPr>
                <w:rFonts w:ascii="Arial" w:hAnsi="Arial" w:cs="Arial"/>
                <w:b/>
                <w:lang w:val="en-ZA"/>
              </w:rPr>
            </w:pPr>
            <w:r>
              <w:rPr>
                <w:rFonts w:ascii="Arial" w:hAnsi="Arial" w:cs="Arial"/>
                <w:b/>
                <w:lang w:val="en-ZA"/>
              </w:rPr>
              <w:t>No.</w:t>
            </w:r>
            <w:r w:rsidR="001116E6" w:rsidRPr="001116E6">
              <w:rPr>
                <w:rFonts w:ascii="Arial" w:hAnsi="Arial" w:cs="Arial"/>
                <w:b/>
                <w:lang w:val="en-ZA"/>
              </w:rPr>
              <w:t xml:space="preserve"> of cases </w:t>
            </w:r>
            <w:r w:rsidR="00AD4DFF">
              <w:rPr>
                <w:rFonts w:ascii="Arial" w:hAnsi="Arial" w:cs="Arial"/>
                <w:b/>
                <w:lang w:val="en-ZA"/>
              </w:rPr>
              <w:t xml:space="preserve">where </w:t>
            </w:r>
            <w:r w:rsidR="001116E6" w:rsidRPr="001116E6">
              <w:rPr>
                <w:rFonts w:ascii="Arial" w:hAnsi="Arial" w:cs="Arial"/>
                <w:b/>
                <w:lang w:val="en-ZA"/>
              </w:rPr>
              <w:t>public servants forfeited their administrative</w:t>
            </w:r>
            <w:r w:rsidR="00AD4DFF">
              <w:rPr>
                <w:rFonts w:ascii="Arial" w:hAnsi="Arial" w:cs="Arial"/>
                <w:b/>
                <w:lang w:val="en-ZA"/>
              </w:rPr>
              <w:t xml:space="preserve"> protection</w:t>
            </w:r>
            <w:r w:rsidR="001116E6" w:rsidRPr="001116E6">
              <w:rPr>
                <w:rFonts w:ascii="Arial" w:hAnsi="Arial" w:cs="Arial"/>
                <w:b/>
                <w:lang w:val="en-ZA"/>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116E6" w:rsidRPr="001116E6" w:rsidRDefault="00121E59" w:rsidP="001116E6">
            <w:pPr>
              <w:spacing w:line="360" w:lineRule="auto"/>
              <w:jc w:val="both"/>
              <w:rPr>
                <w:rFonts w:ascii="Arial" w:hAnsi="Arial" w:cs="Arial"/>
                <w:b/>
                <w:lang w:val="en-ZA"/>
              </w:rPr>
            </w:pPr>
            <w:r>
              <w:rPr>
                <w:rFonts w:ascii="Arial" w:hAnsi="Arial" w:cs="Arial"/>
                <w:b/>
                <w:lang w:val="en-ZA"/>
              </w:rPr>
              <w:t>No.</w:t>
            </w:r>
            <w:r w:rsidR="001116E6" w:rsidRPr="001116E6">
              <w:rPr>
                <w:rFonts w:ascii="Arial" w:hAnsi="Arial" w:cs="Arial"/>
                <w:b/>
                <w:lang w:val="en-ZA"/>
              </w:rPr>
              <w:t xml:space="preserve"> of cases </w:t>
            </w:r>
            <w:r w:rsidR="00AD4DFF">
              <w:rPr>
                <w:rFonts w:ascii="Arial" w:hAnsi="Arial" w:cs="Arial"/>
                <w:b/>
                <w:lang w:val="en-ZA"/>
              </w:rPr>
              <w:t xml:space="preserve">where </w:t>
            </w:r>
            <w:r w:rsidR="001116E6" w:rsidRPr="001116E6">
              <w:rPr>
                <w:rFonts w:ascii="Arial" w:hAnsi="Arial" w:cs="Arial"/>
                <w:b/>
                <w:lang w:val="en-ZA"/>
              </w:rPr>
              <w:t>Ministers forfeited their administrative</w:t>
            </w:r>
            <w:r w:rsidR="00AD4DFF">
              <w:rPr>
                <w:rFonts w:ascii="Arial" w:hAnsi="Arial" w:cs="Arial"/>
                <w:b/>
                <w:lang w:val="en-ZA"/>
              </w:rPr>
              <w:t xml:space="preserve"> protection</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135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bl>
    <w:p w:rsidR="001116E6" w:rsidRDefault="001116E6"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251328" w:rsidRPr="001116E6" w:rsidRDefault="00251328" w:rsidP="00251328">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Pr>
          <w:rFonts w:ascii="Arial" w:hAnsi="Arial" w:cs="Arial"/>
          <w:b/>
          <w:lang w:val="en-ZA"/>
        </w:rPr>
        <w:t>:</w:t>
      </w:r>
      <w:r w:rsidRPr="001116E6">
        <w:rPr>
          <w:rFonts w:ascii="Arial" w:hAnsi="Arial" w:cs="Arial"/>
          <w:b/>
          <w:lang w:val="en-ZA"/>
        </w:rPr>
        <w:t xml:space="preserve"> THOHOYANDOU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560"/>
        <w:gridCol w:w="1385"/>
        <w:gridCol w:w="2158"/>
        <w:gridCol w:w="1985"/>
      </w:tblGrid>
      <w:tr w:rsidR="00251328" w:rsidRPr="00511D57" w:rsidTr="00251328">
        <w:trPr>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No. of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Ministers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cases </w:t>
            </w:r>
            <w:r w:rsidR="00AD4DFF">
              <w:rPr>
                <w:rFonts w:ascii="Arial" w:hAnsi="Arial" w:cs="Arial"/>
                <w:b/>
                <w:lang w:val="en-ZA"/>
              </w:rPr>
              <w:t xml:space="preserve">where </w:t>
            </w:r>
            <w:r w:rsidRPr="00511D57">
              <w:rPr>
                <w:rFonts w:ascii="Arial" w:hAnsi="Arial" w:cs="Arial"/>
                <w:b/>
                <w:lang w:val="en-ZA"/>
              </w:rPr>
              <w:t xml:space="preserve">public servants forfeited their administrative </w:t>
            </w:r>
            <w:r w:rsidR="00AD4DFF">
              <w:rPr>
                <w:rFonts w:ascii="Arial" w:hAnsi="Arial" w:cs="Arial"/>
                <w:b/>
                <w:lang w:val="en-ZA"/>
              </w:rPr>
              <w:t>protection</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cases </w:t>
            </w:r>
            <w:r w:rsidR="00AD4DFF">
              <w:rPr>
                <w:rFonts w:ascii="Arial" w:hAnsi="Arial" w:cs="Arial"/>
                <w:b/>
                <w:lang w:val="en-ZA"/>
              </w:rPr>
              <w:t xml:space="preserve">where </w:t>
            </w:r>
            <w:r w:rsidRPr="00511D57">
              <w:rPr>
                <w:rFonts w:ascii="Arial" w:hAnsi="Arial" w:cs="Arial"/>
                <w:b/>
                <w:lang w:val="en-ZA"/>
              </w:rPr>
              <w:t>Ministers forfeited their administrative</w:t>
            </w:r>
            <w:r w:rsidR="00AD4DFF">
              <w:rPr>
                <w:rFonts w:ascii="Arial" w:hAnsi="Arial" w:cs="Arial"/>
                <w:b/>
                <w:lang w:val="en-ZA"/>
              </w:rPr>
              <w:t xml:space="preserve"> protection</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R36 559.00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R4 305.00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bl>
    <w:p w:rsidR="00251328" w:rsidRDefault="00251328" w:rsidP="00251328">
      <w:pPr>
        <w:spacing w:line="360" w:lineRule="auto"/>
        <w:jc w:val="both"/>
        <w:rPr>
          <w:rFonts w:ascii="Arial" w:hAnsi="Arial" w:cs="Arial"/>
          <w:b/>
          <w:u w:val="single"/>
          <w:lang w:val="en-ZA"/>
        </w:rPr>
      </w:pPr>
    </w:p>
    <w:p w:rsidR="00AD4DFF" w:rsidRDefault="00AD4DFF" w:rsidP="00251328">
      <w:pPr>
        <w:spacing w:line="360" w:lineRule="auto"/>
        <w:jc w:val="both"/>
        <w:rPr>
          <w:rFonts w:ascii="Arial" w:hAnsi="Arial" w:cs="Arial"/>
          <w:b/>
          <w:u w:val="single"/>
          <w:lang w:val="en-ZA"/>
        </w:rPr>
      </w:pPr>
    </w:p>
    <w:p w:rsidR="00AD4DFF" w:rsidRPr="001116E6" w:rsidRDefault="00AD4DFF" w:rsidP="00251328">
      <w:pPr>
        <w:spacing w:line="360" w:lineRule="auto"/>
        <w:jc w:val="both"/>
        <w:rPr>
          <w:rFonts w:ascii="Arial" w:hAnsi="Arial" w:cs="Arial"/>
          <w:b/>
          <w:u w:val="single"/>
          <w:lang w:val="en-ZA"/>
        </w:rPr>
      </w:pPr>
    </w:p>
    <w:p w:rsidR="00251328" w:rsidRPr="001116E6" w:rsidRDefault="00251328" w:rsidP="00251328">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Pr>
          <w:rFonts w:ascii="Arial" w:hAnsi="Arial" w:cs="Arial"/>
          <w:b/>
          <w:lang w:val="en-ZA"/>
        </w:rPr>
        <w:t>:</w:t>
      </w:r>
      <w:r w:rsidRPr="001116E6">
        <w:rPr>
          <w:rFonts w:ascii="Arial" w:hAnsi="Arial" w:cs="Arial"/>
          <w:b/>
          <w:lang w:val="en-ZA"/>
        </w:rPr>
        <w:t xml:space="preserve"> PORT ELIZABETH</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591"/>
        <w:gridCol w:w="1354"/>
        <w:gridCol w:w="2158"/>
        <w:gridCol w:w="1985"/>
      </w:tblGrid>
      <w:tr w:rsidR="00251328" w:rsidRPr="00511D57" w:rsidTr="007D2118">
        <w:trPr>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No. of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Ministers </w:t>
            </w:r>
          </w:p>
        </w:tc>
        <w:tc>
          <w:tcPr>
            <w:tcW w:w="159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cases </w:t>
            </w:r>
            <w:r w:rsidR="001D1F93">
              <w:rPr>
                <w:rFonts w:ascii="Arial" w:hAnsi="Arial" w:cs="Arial"/>
                <w:b/>
                <w:lang w:val="en-ZA"/>
              </w:rPr>
              <w:t xml:space="preserve">where </w:t>
            </w:r>
            <w:r w:rsidRPr="00511D57">
              <w:rPr>
                <w:rFonts w:ascii="Arial" w:hAnsi="Arial" w:cs="Arial"/>
                <w:b/>
                <w:lang w:val="en-ZA"/>
              </w:rPr>
              <w:t>public servants forfeited their administrative</w:t>
            </w:r>
            <w:r w:rsidR="001D1F93">
              <w:rPr>
                <w:rFonts w:ascii="Arial" w:hAnsi="Arial" w:cs="Arial"/>
                <w:b/>
                <w:lang w:val="en-ZA"/>
              </w:rPr>
              <w:t xml:space="preserve"> protection</w:t>
            </w:r>
            <w:r w:rsidRPr="00511D57">
              <w:rPr>
                <w:rFonts w:ascii="Arial" w:hAnsi="Arial" w:cs="Arial"/>
                <w:b/>
                <w:lang w:val="en-Z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cases </w:t>
            </w:r>
            <w:r w:rsidR="001D1F93">
              <w:rPr>
                <w:rFonts w:ascii="Arial" w:hAnsi="Arial" w:cs="Arial"/>
                <w:b/>
                <w:lang w:val="en-ZA"/>
              </w:rPr>
              <w:t xml:space="preserve">where </w:t>
            </w:r>
            <w:r w:rsidRPr="00511D57">
              <w:rPr>
                <w:rFonts w:ascii="Arial" w:hAnsi="Arial" w:cs="Arial"/>
                <w:b/>
                <w:lang w:val="en-ZA"/>
              </w:rPr>
              <w:t>Ministers forfeited their administrative</w:t>
            </w:r>
            <w:r w:rsidR="001D1F93">
              <w:rPr>
                <w:rFonts w:ascii="Arial" w:hAnsi="Arial" w:cs="Arial"/>
                <w:b/>
                <w:lang w:val="en-ZA"/>
              </w:rPr>
              <w:t xml:space="preserve"> protection</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R31 468.00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R138 372.00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bl>
    <w:p w:rsidR="00251328" w:rsidRDefault="00251328" w:rsidP="00251328">
      <w:pPr>
        <w:spacing w:line="360" w:lineRule="auto"/>
        <w:jc w:val="both"/>
        <w:rPr>
          <w:rFonts w:ascii="Arial" w:hAnsi="Arial" w:cs="Arial"/>
          <w:b/>
          <w:u w:val="single"/>
          <w:lang w:val="en-ZA"/>
        </w:rPr>
      </w:pPr>
    </w:p>
    <w:p w:rsidR="004D4BE7" w:rsidRDefault="004D4BE7" w:rsidP="00251328">
      <w:pPr>
        <w:spacing w:line="360" w:lineRule="auto"/>
        <w:jc w:val="both"/>
        <w:rPr>
          <w:rFonts w:ascii="Arial" w:hAnsi="Arial" w:cs="Arial"/>
          <w:b/>
          <w:u w:val="single"/>
          <w:lang w:val="en-ZA"/>
        </w:rPr>
      </w:pPr>
    </w:p>
    <w:p w:rsidR="004D4BE7" w:rsidRDefault="004D4BE7" w:rsidP="00251328">
      <w:pPr>
        <w:spacing w:line="360" w:lineRule="auto"/>
        <w:jc w:val="both"/>
        <w:rPr>
          <w:rFonts w:ascii="Arial" w:hAnsi="Arial" w:cs="Arial"/>
          <w:b/>
          <w:u w:val="single"/>
          <w:lang w:val="en-ZA"/>
        </w:rPr>
      </w:pPr>
    </w:p>
    <w:p w:rsidR="004D4BE7" w:rsidRPr="001116E6" w:rsidRDefault="004D4BE7" w:rsidP="00251328">
      <w:pPr>
        <w:spacing w:line="360" w:lineRule="auto"/>
        <w:jc w:val="both"/>
        <w:rPr>
          <w:rFonts w:ascii="Arial" w:hAnsi="Arial" w:cs="Arial"/>
          <w:b/>
          <w:u w:val="single"/>
          <w:lang w:val="en-ZA"/>
        </w:rPr>
      </w:pPr>
    </w:p>
    <w:p w:rsidR="00251328" w:rsidRPr="001116E6" w:rsidRDefault="00251328" w:rsidP="00251328">
      <w:pPr>
        <w:numPr>
          <w:ilvl w:val="0"/>
          <w:numId w:val="46"/>
        </w:numPr>
        <w:spacing w:line="360" w:lineRule="auto"/>
        <w:jc w:val="both"/>
        <w:rPr>
          <w:rFonts w:ascii="Arial" w:hAnsi="Arial" w:cs="Arial"/>
          <w:b/>
          <w:lang w:val="en-ZA"/>
        </w:rPr>
      </w:pPr>
      <w:r w:rsidRPr="001116E6">
        <w:rPr>
          <w:rFonts w:ascii="Arial" w:hAnsi="Arial" w:cs="Arial"/>
          <w:b/>
          <w:lang w:val="en-ZA"/>
        </w:rPr>
        <w:t>STATE ATTORNEY</w:t>
      </w:r>
      <w:r>
        <w:rPr>
          <w:rFonts w:ascii="Arial" w:hAnsi="Arial" w:cs="Arial"/>
          <w:b/>
          <w:lang w:val="en-ZA"/>
        </w:rPr>
        <w:t>:</w:t>
      </w:r>
      <w:r w:rsidRPr="001116E6">
        <w:rPr>
          <w:rFonts w:ascii="Arial" w:hAnsi="Arial" w:cs="Arial"/>
          <w:b/>
          <w:lang w:val="en-ZA"/>
        </w:rPr>
        <w:t xml:space="preserve"> POLOKWANE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5"/>
        <w:gridCol w:w="1560"/>
        <w:gridCol w:w="1385"/>
        <w:gridCol w:w="2158"/>
        <w:gridCol w:w="1985"/>
      </w:tblGrid>
      <w:tr w:rsidR="00251328" w:rsidRPr="00511D57" w:rsidTr="007D211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No. of Public servants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Ministers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Costs for public servants </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Costs for Ministers </w:t>
            </w:r>
          </w:p>
        </w:tc>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 xml:space="preserve">No. of cases </w:t>
            </w:r>
            <w:r w:rsidR="001D1F93">
              <w:rPr>
                <w:rFonts w:ascii="Arial" w:hAnsi="Arial" w:cs="Arial"/>
                <w:b/>
                <w:lang w:val="en-ZA"/>
              </w:rPr>
              <w:t xml:space="preserve">where </w:t>
            </w:r>
            <w:r w:rsidRPr="00511D57">
              <w:rPr>
                <w:rFonts w:ascii="Arial" w:hAnsi="Arial" w:cs="Arial"/>
                <w:b/>
                <w:lang w:val="en-ZA"/>
              </w:rPr>
              <w:t>public servants forfeited their administrative</w:t>
            </w:r>
            <w:r w:rsidR="001D1F93">
              <w:rPr>
                <w:rFonts w:ascii="Arial" w:hAnsi="Arial" w:cs="Arial"/>
                <w:b/>
                <w:lang w:val="en-ZA"/>
              </w:rPr>
              <w:t xml:space="preserve"> protection</w:t>
            </w:r>
            <w:r w:rsidRPr="00511D57">
              <w:rPr>
                <w:rFonts w:ascii="Arial" w:hAnsi="Arial" w:cs="Arial"/>
                <w:b/>
                <w:lang w:val="en-Z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b/>
                <w:lang w:val="en-ZA"/>
              </w:rPr>
            </w:pPr>
            <w:r w:rsidRPr="00511D57">
              <w:rPr>
                <w:rFonts w:ascii="Arial" w:hAnsi="Arial" w:cs="Arial"/>
                <w:b/>
                <w:lang w:val="en-ZA"/>
              </w:rPr>
              <w:t>No. of cases</w:t>
            </w:r>
            <w:r w:rsidR="001D1F93">
              <w:rPr>
                <w:rFonts w:ascii="Arial" w:hAnsi="Arial" w:cs="Arial"/>
                <w:b/>
                <w:lang w:val="en-ZA"/>
              </w:rPr>
              <w:t xml:space="preserve"> where</w:t>
            </w:r>
            <w:r w:rsidRPr="00511D57">
              <w:rPr>
                <w:rFonts w:ascii="Arial" w:hAnsi="Arial" w:cs="Arial"/>
                <w:b/>
                <w:lang w:val="en-ZA"/>
              </w:rPr>
              <w:t xml:space="preserve"> Ministers forfeited their administrative</w:t>
            </w:r>
            <w:r w:rsidR="001D1F93">
              <w:rPr>
                <w:rFonts w:ascii="Arial" w:hAnsi="Arial" w:cs="Arial"/>
                <w:b/>
                <w:lang w:val="en-ZA"/>
              </w:rPr>
              <w:t xml:space="preserve"> protection</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r w:rsidR="00251328" w:rsidRPr="00511D57" w:rsidTr="00251328">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51328" w:rsidRPr="00511D57" w:rsidRDefault="00251328" w:rsidP="007D2118">
            <w:pPr>
              <w:spacing w:line="360" w:lineRule="auto"/>
              <w:jc w:val="both"/>
              <w:rPr>
                <w:rFonts w:ascii="Arial" w:hAnsi="Arial" w:cs="Arial"/>
                <w:lang w:val="en-ZA"/>
              </w:rPr>
            </w:pPr>
            <w:r w:rsidRPr="00511D57">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2158"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51328" w:rsidRPr="00511D57" w:rsidRDefault="00251328" w:rsidP="00251328">
            <w:pPr>
              <w:spacing w:line="360" w:lineRule="auto"/>
              <w:jc w:val="center"/>
              <w:rPr>
                <w:rFonts w:ascii="Arial" w:hAnsi="Arial" w:cs="Arial"/>
                <w:lang w:val="en-ZA"/>
              </w:rPr>
            </w:pPr>
            <w:r w:rsidRPr="00511D57">
              <w:rPr>
                <w:rFonts w:ascii="Arial" w:hAnsi="Arial" w:cs="Arial"/>
                <w:lang w:val="en-ZA"/>
              </w:rPr>
              <w:t>None</w:t>
            </w:r>
          </w:p>
        </w:tc>
      </w:tr>
    </w:tbl>
    <w:p w:rsidR="00251328" w:rsidRPr="001116E6" w:rsidRDefault="00251328" w:rsidP="00251328">
      <w:pPr>
        <w:spacing w:line="360" w:lineRule="auto"/>
        <w:jc w:val="both"/>
        <w:rPr>
          <w:rFonts w:ascii="Arial" w:hAnsi="Arial" w:cs="Arial"/>
          <w:b/>
          <w:u w:val="single"/>
          <w:lang w:val="en-ZA"/>
        </w:rPr>
      </w:pPr>
    </w:p>
    <w:p w:rsidR="00251328" w:rsidRDefault="00251328" w:rsidP="001116E6">
      <w:pPr>
        <w:spacing w:line="360" w:lineRule="auto"/>
        <w:jc w:val="both"/>
        <w:rPr>
          <w:rFonts w:ascii="Arial" w:hAnsi="Arial" w:cs="Arial"/>
          <w:b/>
          <w:u w:val="single"/>
          <w:lang w:val="en-ZA"/>
        </w:rPr>
      </w:pPr>
    </w:p>
    <w:p w:rsidR="00251328" w:rsidRDefault="00251328" w:rsidP="001116E6">
      <w:pPr>
        <w:spacing w:line="360" w:lineRule="auto"/>
        <w:jc w:val="both"/>
        <w:rPr>
          <w:rFonts w:ascii="Arial" w:hAnsi="Arial" w:cs="Arial"/>
          <w:b/>
          <w:u w:val="single"/>
          <w:lang w:val="en-ZA"/>
        </w:rPr>
      </w:pPr>
    </w:p>
    <w:p w:rsidR="00660EFC" w:rsidRDefault="00660EFC" w:rsidP="00660EFC">
      <w:pPr>
        <w:pStyle w:val="Default"/>
        <w:spacing w:before="120" w:after="120" w:line="360" w:lineRule="auto"/>
        <w:jc w:val="both"/>
        <w:rPr>
          <w:rFonts w:ascii="Arial" w:hAnsi="Arial" w:cs="Arial"/>
        </w:rPr>
      </w:pPr>
      <w:r>
        <w:rPr>
          <w:rFonts w:ascii="Arial" w:hAnsi="Arial" w:cs="Arial"/>
        </w:rPr>
        <w:t xml:space="preserve">Regarding the Polokwane State Attorneys’ Office, the Head of Office has reported that there are no such applications that have been submitted to their office. Hence the nil return on the table, </w:t>
      </w:r>
      <w:r w:rsidR="004D4BE7">
        <w:rPr>
          <w:rFonts w:ascii="Arial" w:hAnsi="Arial" w:cs="Arial"/>
        </w:rPr>
        <w:t>above</w:t>
      </w:r>
      <w:r>
        <w:rPr>
          <w:rFonts w:ascii="Arial" w:hAnsi="Arial" w:cs="Arial"/>
        </w:rPr>
        <w:t>.</w:t>
      </w:r>
    </w:p>
    <w:p w:rsidR="001D1F93" w:rsidRDefault="001D1F93"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4D4BE7" w:rsidRDefault="004D4BE7" w:rsidP="001116E6">
      <w:pPr>
        <w:spacing w:line="360" w:lineRule="auto"/>
        <w:jc w:val="both"/>
        <w:rPr>
          <w:rFonts w:ascii="Arial" w:hAnsi="Arial" w:cs="Arial"/>
          <w:b/>
          <w:u w:val="single"/>
          <w:lang w:val="en-ZA"/>
        </w:rPr>
      </w:pPr>
    </w:p>
    <w:p w:rsidR="001116E6" w:rsidRPr="001116E6" w:rsidRDefault="001D1F93" w:rsidP="001116E6">
      <w:pPr>
        <w:numPr>
          <w:ilvl w:val="0"/>
          <w:numId w:val="46"/>
        </w:numPr>
        <w:spacing w:line="360" w:lineRule="auto"/>
        <w:jc w:val="both"/>
        <w:rPr>
          <w:rFonts w:ascii="Arial" w:hAnsi="Arial" w:cs="Arial"/>
          <w:b/>
          <w:lang w:val="en-ZA"/>
        </w:rPr>
      </w:pPr>
      <w:r>
        <w:rPr>
          <w:rFonts w:ascii="Arial" w:hAnsi="Arial" w:cs="Arial"/>
          <w:b/>
          <w:lang w:val="en-ZA"/>
        </w:rPr>
        <w:t xml:space="preserve">CHIEF DIRECTORATE: </w:t>
      </w:r>
      <w:r w:rsidR="001116E6" w:rsidRPr="001116E6">
        <w:rPr>
          <w:rFonts w:ascii="Arial" w:hAnsi="Arial" w:cs="Arial"/>
          <w:b/>
          <w:lang w:val="en-ZA"/>
        </w:rPr>
        <w:t xml:space="preserve">LAW ENFORCEMENT </w:t>
      </w:r>
      <w:r>
        <w:rPr>
          <w:rFonts w:ascii="Arial" w:hAnsi="Arial" w:cs="Arial"/>
          <w:b/>
          <w:lang w:val="en-ZA"/>
        </w:rPr>
        <w:t>IN</w:t>
      </w:r>
      <w:r w:rsidR="00752B82">
        <w:rPr>
          <w:rFonts w:ascii="Arial" w:hAnsi="Arial" w:cs="Arial"/>
          <w:b/>
          <w:lang w:val="en-ZA"/>
        </w:rPr>
        <w:t xml:space="preserve"> THE </w:t>
      </w:r>
      <w:r w:rsidR="001116E6" w:rsidRPr="001116E6">
        <w:rPr>
          <w:rFonts w:ascii="Arial" w:hAnsi="Arial" w:cs="Arial"/>
          <w:b/>
          <w:lang w:val="en-ZA"/>
        </w:rPr>
        <w:t>D</w:t>
      </w:r>
      <w:r w:rsidR="00752B82">
        <w:rPr>
          <w:rFonts w:ascii="Arial" w:hAnsi="Arial" w:cs="Arial"/>
          <w:b/>
          <w:lang w:val="en-ZA"/>
        </w:rPr>
        <w:t xml:space="preserve">EPARTMENT </w:t>
      </w:r>
      <w:r w:rsidR="001116E6" w:rsidRPr="001116E6">
        <w:rPr>
          <w:rFonts w:ascii="Arial" w:hAnsi="Arial" w:cs="Arial"/>
          <w:b/>
          <w:lang w:val="en-ZA"/>
        </w:rPr>
        <w:t>O</w:t>
      </w:r>
      <w:r w:rsidR="00752B82">
        <w:rPr>
          <w:rFonts w:ascii="Arial" w:hAnsi="Arial" w:cs="Arial"/>
          <w:b/>
          <w:lang w:val="en-ZA"/>
        </w:rPr>
        <w:t xml:space="preserve">F </w:t>
      </w:r>
      <w:r w:rsidR="001116E6" w:rsidRPr="001116E6">
        <w:rPr>
          <w:rFonts w:ascii="Arial" w:hAnsi="Arial" w:cs="Arial"/>
          <w:b/>
          <w:lang w:val="en-ZA"/>
        </w:rPr>
        <w:t>J</w:t>
      </w:r>
      <w:r w:rsidR="00752B82">
        <w:rPr>
          <w:rFonts w:ascii="Arial" w:hAnsi="Arial" w:cs="Arial"/>
          <w:b/>
          <w:lang w:val="en-ZA"/>
        </w:rPr>
        <w:t xml:space="preserve">USTICE </w:t>
      </w:r>
      <w:r w:rsidR="00883ECB">
        <w:rPr>
          <w:rFonts w:ascii="Arial" w:hAnsi="Arial" w:cs="Arial"/>
          <w:b/>
          <w:lang w:val="en-ZA"/>
        </w:rPr>
        <w:t>AND CONSTITUTIONAL DEVELOPMENT</w:t>
      </w:r>
      <w:r>
        <w:rPr>
          <w:rFonts w:ascii="Arial" w:hAnsi="Arial" w:cs="Arial"/>
          <w:b/>
          <w:lang w:val="en-ZA"/>
        </w:rPr>
        <w:t>:</w:t>
      </w:r>
    </w:p>
    <w:tbl>
      <w:tblPr>
        <w:tblW w:w="10490" w:type="dxa"/>
        <w:tblInd w:w="-459" w:type="dxa"/>
        <w:tblLayout w:type="fixed"/>
        <w:tblLook w:val="04A0"/>
      </w:tblPr>
      <w:tblGrid>
        <w:gridCol w:w="851"/>
        <w:gridCol w:w="1276"/>
        <w:gridCol w:w="1275"/>
        <w:gridCol w:w="1843"/>
        <w:gridCol w:w="1276"/>
        <w:gridCol w:w="1984"/>
        <w:gridCol w:w="1985"/>
      </w:tblGrid>
      <w:tr w:rsidR="001116E6" w:rsidRPr="001116E6" w:rsidTr="00121E59">
        <w:tc>
          <w:tcPr>
            <w:tcW w:w="851"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Year </w:t>
            </w:r>
          </w:p>
        </w:tc>
        <w:tc>
          <w:tcPr>
            <w:tcW w:w="1276"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o. of</w:t>
            </w:r>
            <w:r w:rsidRPr="001116E6">
              <w:rPr>
                <w:rFonts w:ascii="Arial" w:hAnsi="Arial" w:cs="Arial"/>
                <w:b/>
                <w:lang w:val="en-ZA"/>
              </w:rPr>
              <w:t xml:space="preserve"> Public servants</w:t>
            </w:r>
          </w:p>
        </w:tc>
        <w:tc>
          <w:tcPr>
            <w:tcW w:w="1275"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 xml:space="preserve">o. </w:t>
            </w:r>
            <w:r w:rsidRPr="001116E6">
              <w:rPr>
                <w:rFonts w:ascii="Arial" w:hAnsi="Arial" w:cs="Arial"/>
                <w:b/>
                <w:lang w:val="en-ZA"/>
              </w:rPr>
              <w:t xml:space="preserve">of Ministers </w:t>
            </w:r>
          </w:p>
        </w:tc>
        <w:tc>
          <w:tcPr>
            <w:tcW w:w="1843"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Costs for public servants </w:t>
            </w:r>
          </w:p>
        </w:tc>
        <w:tc>
          <w:tcPr>
            <w:tcW w:w="1276"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116E6">
            <w:pPr>
              <w:spacing w:line="360" w:lineRule="auto"/>
              <w:jc w:val="both"/>
              <w:rPr>
                <w:rFonts w:ascii="Arial" w:hAnsi="Arial" w:cs="Arial"/>
                <w:b/>
                <w:lang w:val="en-ZA"/>
              </w:rPr>
            </w:pPr>
            <w:r w:rsidRPr="001116E6">
              <w:rPr>
                <w:rFonts w:ascii="Arial" w:hAnsi="Arial" w:cs="Arial"/>
                <w:b/>
                <w:lang w:val="en-ZA"/>
              </w:rPr>
              <w:t xml:space="preserve">Costs for Ministers </w:t>
            </w:r>
          </w:p>
        </w:tc>
        <w:tc>
          <w:tcPr>
            <w:tcW w:w="1984" w:type="dxa"/>
            <w:tcBorders>
              <w:top w:val="single" w:sz="4" w:space="0" w:color="auto"/>
              <w:left w:val="single" w:sz="4" w:space="0" w:color="auto"/>
              <w:bottom w:val="single" w:sz="4" w:space="0" w:color="auto"/>
              <w:right w:val="single" w:sz="4" w:space="0" w:color="auto"/>
            </w:tcBorders>
            <w:hideMark/>
          </w:tcPr>
          <w:p w:rsidR="001116E6" w:rsidRPr="001116E6" w:rsidRDefault="00121E59" w:rsidP="001116E6">
            <w:pPr>
              <w:spacing w:line="360" w:lineRule="auto"/>
              <w:jc w:val="both"/>
              <w:rPr>
                <w:rFonts w:ascii="Arial" w:hAnsi="Arial" w:cs="Arial"/>
                <w:b/>
                <w:lang w:val="en-ZA"/>
              </w:rPr>
            </w:pPr>
            <w:r>
              <w:rPr>
                <w:rFonts w:ascii="Arial" w:hAnsi="Arial" w:cs="Arial"/>
                <w:b/>
                <w:lang w:val="en-ZA"/>
              </w:rPr>
              <w:t>No.</w:t>
            </w:r>
            <w:r w:rsidR="001116E6" w:rsidRPr="001116E6">
              <w:rPr>
                <w:rFonts w:ascii="Arial" w:hAnsi="Arial" w:cs="Arial"/>
                <w:b/>
                <w:lang w:val="en-ZA"/>
              </w:rPr>
              <w:t xml:space="preserve"> of cases </w:t>
            </w:r>
            <w:r w:rsidR="001D1F93">
              <w:rPr>
                <w:rFonts w:ascii="Arial" w:hAnsi="Arial" w:cs="Arial"/>
                <w:b/>
                <w:lang w:val="en-ZA"/>
              </w:rPr>
              <w:t xml:space="preserve">where </w:t>
            </w:r>
            <w:r w:rsidR="001116E6" w:rsidRPr="001116E6">
              <w:rPr>
                <w:rFonts w:ascii="Arial" w:hAnsi="Arial" w:cs="Arial"/>
                <w:b/>
                <w:lang w:val="en-ZA"/>
              </w:rPr>
              <w:t>public servants forfeited their administrative</w:t>
            </w:r>
            <w:r w:rsidR="001D1F93">
              <w:rPr>
                <w:rFonts w:ascii="Arial" w:hAnsi="Arial" w:cs="Arial"/>
                <w:b/>
                <w:lang w:val="en-ZA"/>
              </w:rPr>
              <w:t xml:space="preserve"> protection</w:t>
            </w:r>
            <w:r w:rsidR="001116E6" w:rsidRPr="001116E6">
              <w:rPr>
                <w:rFonts w:ascii="Arial" w:hAnsi="Arial" w:cs="Arial"/>
                <w:b/>
                <w:lang w:val="en-ZA"/>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116E6" w:rsidRPr="001116E6" w:rsidRDefault="001116E6" w:rsidP="00121E59">
            <w:pPr>
              <w:spacing w:line="360" w:lineRule="auto"/>
              <w:jc w:val="both"/>
              <w:rPr>
                <w:rFonts w:ascii="Arial" w:hAnsi="Arial" w:cs="Arial"/>
                <w:b/>
                <w:lang w:val="en-ZA"/>
              </w:rPr>
            </w:pPr>
            <w:r w:rsidRPr="001116E6">
              <w:rPr>
                <w:rFonts w:ascii="Arial" w:hAnsi="Arial" w:cs="Arial"/>
                <w:b/>
                <w:lang w:val="en-ZA"/>
              </w:rPr>
              <w:t>N</w:t>
            </w:r>
            <w:r w:rsidR="00121E59">
              <w:rPr>
                <w:rFonts w:ascii="Arial" w:hAnsi="Arial" w:cs="Arial"/>
                <w:b/>
                <w:lang w:val="en-ZA"/>
              </w:rPr>
              <w:t>o.</w:t>
            </w:r>
            <w:r w:rsidRPr="001116E6">
              <w:rPr>
                <w:rFonts w:ascii="Arial" w:hAnsi="Arial" w:cs="Arial"/>
                <w:b/>
                <w:lang w:val="en-ZA"/>
              </w:rPr>
              <w:t xml:space="preserve"> of cases </w:t>
            </w:r>
            <w:r w:rsidR="001D1F93">
              <w:rPr>
                <w:rFonts w:ascii="Arial" w:hAnsi="Arial" w:cs="Arial"/>
                <w:b/>
                <w:lang w:val="en-ZA"/>
              </w:rPr>
              <w:t xml:space="preserve">where </w:t>
            </w:r>
            <w:r w:rsidRPr="001116E6">
              <w:rPr>
                <w:rFonts w:ascii="Arial" w:hAnsi="Arial" w:cs="Arial"/>
                <w:b/>
                <w:lang w:val="en-ZA"/>
              </w:rPr>
              <w:t>Ministers forfeited their administrative</w:t>
            </w:r>
            <w:r w:rsidR="001D1F93">
              <w:rPr>
                <w:rFonts w:ascii="Arial" w:hAnsi="Arial" w:cs="Arial"/>
                <w:b/>
                <w:lang w:val="en-ZA"/>
              </w:rPr>
              <w:t xml:space="preserve"> protection</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r w:rsidR="001116E6" w:rsidRPr="00121E59" w:rsidTr="00251328">
        <w:tc>
          <w:tcPr>
            <w:tcW w:w="851" w:type="dxa"/>
            <w:tcBorders>
              <w:top w:val="single" w:sz="4" w:space="0" w:color="auto"/>
              <w:left w:val="single" w:sz="4" w:space="0" w:color="auto"/>
              <w:bottom w:val="single" w:sz="4" w:space="0" w:color="auto"/>
              <w:right w:val="single" w:sz="4" w:space="0" w:color="auto"/>
            </w:tcBorders>
            <w:hideMark/>
          </w:tcPr>
          <w:p w:rsidR="001116E6" w:rsidRPr="00121E59" w:rsidRDefault="001116E6" w:rsidP="001116E6">
            <w:pPr>
              <w:spacing w:line="360" w:lineRule="auto"/>
              <w:jc w:val="both"/>
              <w:rPr>
                <w:rFonts w:ascii="Arial" w:hAnsi="Arial" w:cs="Arial"/>
                <w:lang w:val="en-ZA"/>
              </w:rPr>
            </w:pPr>
            <w:r w:rsidRPr="00121E59">
              <w:rPr>
                <w:rFonts w:ascii="Arial" w:hAnsi="Arial" w:cs="Arial"/>
                <w:lang w:val="en-ZA"/>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16E6" w:rsidRPr="00121E59" w:rsidRDefault="001116E6" w:rsidP="00251328">
            <w:pPr>
              <w:spacing w:line="360" w:lineRule="auto"/>
              <w:jc w:val="center"/>
              <w:rPr>
                <w:rFonts w:ascii="Arial" w:hAnsi="Arial" w:cs="Arial"/>
                <w:lang w:val="en-ZA"/>
              </w:rPr>
            </w:pPr>
            <w:r w:rsidRPr="00121E59">
              <w:rPr>
                <w:rFonts w:ascii="Arial" w:hAnsi="Arial" w:cs="Arial"/>
                <w:lang w:val="en-ZA"/>
              </w:rPr>
              <w:t>None</w:t>
            </w:r>
          </w:p>
        </w:tc>
      </w:tr>
    </w:tbl>
    <w:p w:rsidR="001116E6" w:rsidRPr="001116E6" w:rsidRDefault="001116E6" w:rsidP="001116E6">
      <w:pPr>
        <w:spacing w:line="360" w:lineRule="auto"/>
        <w:jc w:val="both"/>
        <w:rPr>
          <w:rFonts w:ascii="Arial" w:hAnsi="Arial" w:cs="Arial"/>
          <w:b/>
          <w:u w:val="single"/>
          <w:lang w:val="en-ZA"/>
        </w:rPr>
      </w:pPr>
    </w:p>
    <w:p w:rsidR="001116E6" w:rsidRPr="001116E6" w:rsidRDefault="001116E6" w:rsidP="001116E6">
      <w:pPr>
        <w:spacing w:line="360" w:lineRule="auto"/>
        <w:jc w:val="both"/>
        <w:rPr>
          <w:rFonts w:ascii="Arial" w:hAnsi="Arial" w:cs="Arial"/>
          <w:b/>
          <w:u w:val="single"/>
          <w:lang w:val="en-ZA"/>
        </w:rPr>
      </w:pPr>
    </w:p>
    <w:p w:rsidR="001116E6" w:rsidRPr="00FA59FA" w:rsidRDefault="001116E6" w:rsidP="00A25B51">
      <w:pPr>
        <w:spacing w:line="360" w:lineRule="auto"/>
        <w:jc w:val="both"/>
        <w:rPr>
          <w:rFonts w:ascii="Arial" w:hAnsi="Arial" w:cs="Arial"/>
          <w:b/>
        </w:rPr>
      </w:pPr>
    </w:p>
    <w:sectPr w:rsidR="001116E6" w:rsidRPr="00FA59FA"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35" w:rsidRDefault="00F71B35" w:rsidP="00913892">
      <w:r>
        <w:separator/>
      </w:r>
    </w:p>
  </w:endnote>
  <w:endnote w:type="continuationSeparator" w:id="0">
    <w:p w:rsidR="00F71B35" w:rsidRDefault="00F71B3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E6" w:rsidRDefault="001116E6">
    <w:pPr>
      <w:pStyle w:val="Footer"/>
      <w:pBdr>
        <w:top w:val="single" w:sz="4" w:space="1" w:color="D9D9D9"/>
      </w:pBdr>
      <w:rPr>
        <w:b/>
        <w:bCs/>
      </w:rPr>
    </w:pPr>
    <w:fldSimple w:instr=" PAGE   \* MERGEFORMAT ">
      <w:r w:rsidR="00F71B35" w:rsidRPr="00F71B35">
        <w:rPr>
          <w:b/>
          <w:bCs/>
          <w:noProof/>
        </w:rPr>
        <w:t>1</w:t>
      </w:r>
    </w:fldSimple>
    <w:r>
      <w:rPr>
        <w:b/>
        <w:bCs/>
      </w:rPr>
      <w:t xml:space="preserve"> | </w:t>
    </w:r>
    <w:r>
      <w:rPr>
        <w:color w:val="808080"/>
        <w:spacing w:val="60"/>
      </w:rPr>
      <w:t>Page</w:t>
    </w:r>
  </w:p>
  <w:p w:rsidR="001116E6" w:rsidRDefault="00111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35" w:rsidRDefault="00F71B35" w:rsidP="00913892">
      <w:r>
        <w:separator/>
      </w:r>
    </w:p>
  </w:footnote>
  <w:footnote w:type="continuationSeparator" w:id="0">
    <w:p w:rsidR="00F71B35" w:rsidRDefault="00F71B3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D8C63CF"/>
    <w:multiLevelType w:val="hybridMultilevel"/>
    <w:tmpl w:val="D24EAFFE"/>
    <w:lvl w:ilvl="0" w:tplc="E75E8B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C33986"/>
    <w:multiLevelType w:val="hybridMultilevel"/>
    <w:tmpl w:val="11B46AE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EAD11E0"/>
    <w:multiLevelType w:val="hybridMultilevel"/>
    <w:tmpl w:val="BECE78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1"/>
  </w:num>
  <w:num w:numId="5">
    <w:abstractNumId w:val="37"/>
  </w:num>
  <w:num w:numId="6">
    <w:abstractNumId w:val="4"/>
  </w:num>
  <w:num w:numId="7">
    <w:abstractNumId w:val="45"/>
  </w:num>
  <w:num w:numId="8">
    <w:abstractNumId w:val="15"/>
  </w:num>
  <w:num w:numId="9">
    <w:abstractNumId w:val="21"/>
  </w:num>
  <w:num w:numId="10">
    <w:abstractNumId w:val="39"/>
  </w:num>
  <w:num w:numId="11">
    <w:abstractNumId w:val="3"/>
  </w:num>
  <w:num w:numId="12">
    <w:abstractNumId w:val="28"/>
  </w:num>
  <w:num w:numId="13">
    <w:abstractNumId w:val="19"/>
  </w:num>
  <w:num w:numId="14">
    <w:abstractNumId w:val="22"/>
  </w:num>
  <w:num w:numId="15">
    <w:abstractNumId w:val="12"/>
  </w:num>
  <w:num w:numId="16">
    <w:abstractNumId w:val="20"/>
  </w:num>
  <w:num w:numId="17">
    <w:abstractNumId w:val="43"/>
  </w:num>
  <w:num w:numId="18">
    <w:abstractNumId w:val="29"/>
  </w:num>
  <w:num w:numId="19">
    <w:abstractNumId w:val="24"/>
  </w:num>
  <w:num w:numId="20">
    <w:abstractNumId w:val="42"/>
  </w:num>
  <w:num w:numId="21">
    <w:abstractNumId w:val="33"/>
  </w:num>
  <w:num w:numId="22">
    <w:abstractNumId w:val="34"/>
  </w:num>
  <w:num w:numId="23">
    <w:abstractNumId w:val="11"/>
  </w:num>
  <w:num w:numId="24">
    <w:abstractNumId w:val="35"/>
  </w:num>
  <w:num w:numId="25">
    <w:abstractNumId w:val="6"/>
  </w:num>
  <w:num w:numId="26">
    <w:abstractNumId w:val="7"/>
  </w:num>
  <w:num w:numId="27">
    <w:abstractNumId w:val="44"/>
  </w:num>
  <w:num w:numId="28">
    <w:abstractNumId w:val="16"/>
  </w:num>
  <w:num w:numId="29">
    <w:abstractNumId w:val="25"/>
  </w:num>
  <w:num w:numId="30">
    <w:abstractNumId w:val="40"/>
  </w:num>
  <w:num w:numId="31">
    <w:abstractNumId w:val="9"/>
  </w:num>
  <w:num w:numId="32">
    <w:abstractNumId w:val="14"/>
  </w:num>
  <w:num w:numId="33">
    <w:abstractNumId w:val="0"/>
  </w:num>
  <w:num w:numId="34">
    <w:abstractNumId w:val="17"/>
  </w:num>
  <w:num w:numId="35">
    <w:abstractNumId w:val="10"/>
  </w:num>
  <w:num w:numId="36">
    <w:abstractNumId w:val="30"/>
  </w:num>
  <w:num w:numId="37">
    <w:abstractNumId w:val="27"/>
  </w:num>
  <w:num w:numId="38">
    <w:abstractNumId w:val="23"/>
  </w:num>
  <w:num w:numId="39">
    <w:abstractNumId w:val="36"/>
  </w:num>
  <w:num w:numId="40">
    <w:abstractNumId w:val="26"/>
  </w:num>
  <w:num w:numId="41">
    <w:abstractNumId w:val="2"/>
  </w:num>
  <w:num w:numId="42">
    <w:abstractNumId w:val="38"/>
  </w:num>
  <w:num w:numId="43">
    <w:abstractNumId w:val="41"/>
  </w:num>
  <w:num w:numId="44">
    <w:abstractNumId w:val="13"/>
  </w:num>
  <w:num w:numId="45">
    <w:abstractNumId w:val="8"/>
  </w:num>
  <w:num w:numId="46">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25CD"/>
    <w:rsid w:val="0002563F"/>
    <w:rsid w:val="00026EC0"/>
    <w:rsid w:val="00030927"/>
    <w:rsid w:val="000374B3"/>
    <w:rsid w:val="0004105D"/>
    <w:rsid w:val="0004190C"/>
    <w:rsid w:val="00046588"/>
    <w:rsid w:val="00052CE2"/>
    <w:rsid w:val="00070401"/>
    <w:rsid w:val="000714BB"/>
    <w:rsid w:val="00072E1B"/>
    <w:rsid w:val="0007655F"/>
    <w:rsid w:val="00077B1E"/>
    <w:rsid w:val="00093617"/>
    <w:rsid w:val="000A3DA5"/>
    <w:rsid w:val="000C01D4"/>
    <w:rsid w:val="000D25B5"/>
    <w:rsid w:val="000D4F57"/>
    <w:rsid w:val="000D68A7"/>
    <w:rsid w:val="000E07E4"/>
    <w:rsid w:val="000E7085"/>
    <w:rsid w:val="000E76BA"/>
    <w:rsid w:val="000F6D79"/>
    <w:rsid w:val="00105174"/>
    <w:rsid w:val="00110B8F"/>
    <w:rsid w:val="001116E6"/>
    <w:rsid w:val="00114EE0"/>
    <w:rsid w:val="00120775"/>
    <w:rsid w:val="00121E59"/>
    <w:rsid w:val="00122691"/>
    <w:rsid w:val="001304BF"/>
    <w:rsid w:val="00134C16"/>
    <w:rsid w:val="001354F5"/>
    <w:rsid w:val="00144111"/>
    <w:rsid w:val="00147D0C"/>
    <w:rsid w:val="00156483"/>
    <w:rsid w:val="001702F2"/>
    <w:rsid w:val="001774BC"/>
    <w:rsid w:val="001776D5"/>
    <w:rsid w:val="001848C4"/>
    <w:rsid w:val="00192D26"/>
    <w:rsid w:val="00194B05"/>
    <w:rsid w:val="001A4C02"/>
    <w:rsid w:val="001A6D2A"/>
    <w:rsid w:val="001B00F0"/>
    <w:rsid w:val="001B52BA"/>
    <w:rsid w:val="001B700B"/>
    <w:rsid w:val="001C112F"/>
    <w:rsid w:val="001D1F93"/>
    <w:rsid w:val="001D2D3F"/>
    <w:rsid w:val="001E1BE7"/>
    <w:rsid w:val="001F445E"/>
    <w:rsid w:val="00203F6A"/>
    <w:rsid w:val="00204EA2"/>
    <w:rsid w:val="0020546E"/>
    <w:rsid w:val="00213182"/>
    <w:rsid w:val="0021549B"/>
    <w:rsid w:val="00251328"/>
    <w:rsid w:val="00251A76"/>
    <w:rsid w:val="00255DD7"/>
    <w:rsid w:val="00266315"/>
    <w:rsid w:val="0026702C"/>
    <w:rsid w:val="002857B6"/>
    <w:rsid w:val="00286311"/>
    <w:rsid w:val="002901F6"/>
    <w:rsid w:val="00291EF0"/>
    <w:rsid w:val="0029234D"/>
    <w:rsid w:val="002A0DB1"/>
    <w:rsid w:val="002B2B31"/>
    <w:rsid w:val="002B6D18"/>
    <w:rsid w:val="002C1BCE"/>
    <w:rsid w:val="002C719B"/>
    <w:rsid w:val="002D5BF7"/>
    <w:rsid w:val="002D7BBD"/>
    <w:rsid w:val="002E7253"/>
    <w:rsid w:val="002F0095"/>
    <w:rsid w:val="002F74EA"/>
    <w:rsid w:val="0031652F"/>
    <w:rsid w:val="00322BA4"/>
    <w:rsid w:val="00333378"/>
    <w:rsid w:val="00343B24"/>
    <w:rsid w:val="00346374"/>
    <w:rsid w:val="00346942"/>
    <w:rsid w:val="003619AF"/>
    <w:rsid w:val="00365620"/>
    <w:rsid w:val="0037187E"/>
    <w:rsid w:val="003767D7"/>
    <w:rsid w:val="00381B64"/>
    <w:rsid w:val="00385518"/>
    <w:rsid w:val="00386CA6"/>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D4BE7"/>
    <w:rsid w:val="004F2AE4"/>
    <w:rsid w:val="004F6FEC"/>
    <w:rsid w:val="00511D57"/>
    <w:rsid w:val="00513281"/>
    <w:rsid w:val="00515B6A"/>
    <w:rsid w:val="005160F8"/>
    <w:rsid w:val="0054211D"/>
    <w:rsid w:val="00555EE6"/>
    <w:rsid w:val="00561BF1"/>
    <w:rsid w:val="00572F09"/>
    <w:rsid w:val="005835BC"/>
    <w:rsid w:val="005856A7"/>
    <w:rsid w:val="00585897"/>
    <w:rsid w:val="005A40B9"/>
    <w:rsid w:val="005A4F3D"/>
    <w:rsid w:val="005A60AD"/>
    <w:rsid w:val="005D37E4"/>
    <w:rsid w:val="005E365A"/>
    <w:rsid w:val="005F266C"/>
    <w:rsid w:val="00601D9C"/>
    <w:rsid w:val="00612214"/>
    <w:rsid w:val="0062002F"/>
    <w:rsid w:val="00625CD7"/>
    <w:rsid w:val="00630932"/>
    <w:rsid w:val="00632C25"/>
    <w:rsid w:val="00635C5D"/>
    <w:rsid w:val="006364F1"/>
    <w:rsid w:val="006425C0"/>
    <w:rsid w:val="00643EF2"/>
    <w:rsid w:val="00643FA2"/>
    <w:rsid w:val="00653FE5"/>
    <w:rsid w:val="00660EFC"/>
    <w:rsid w:val="00670788"/>
    <w:rsid w:val="0067545A"/>
    <w:rsid w:val="006959E4"/>
    <w:rsid w:val="006B0F80"/>
    <w:rsid w:val="006B2395"/>
    <w:rsid w:val="006B4149"/>
    <w:rsid w:val="006C0567"/>
    <w:rsid w:val="006D21F9"/>
    <w:rsid w:val="006D7E71"/>
    <w:rsid w:val="006E525A"/>
    <w:rsid w:val="006F2454"/>
    <w:rsid w:val="006F63D7"/>
    <w:rsid w:val="007044F8"/>
    <w:rsid w:val="00720D4C"/>
    <w:rsid w:val="00724689"/>
    <w:rsid w:val="007261FA"/>
    <w:rsid w:val="00740A5A"/>
    <w:rsid w:val="00745638"/>
    <w:rsid w:val="00752B82"/>
    <w:rsid w:val="007540CF"/>
    <w:rsid w:val="00755C22"/>
    <w:rsid w:val="00756DD1"/>
    <w:rsid w:val="00757E02"/>
    <w:rsid w:val="00760BFE"/>
    <w:rsid w:val="00765EB5"/>
    <w:rsid w:val="00766532"/>
    <w:rsid w:val="00772E4E"/>
    <w:rsid w:val="00777A77"/>
    <w:rsid w:val="0078425B"/>
    <w:rsid w:val="00786804"/>
    <w:rsid w:val="00791471"/>
    <w:rsid w:val="007961D4"/>
    <w:rsid w:val="007B5B91"/>
    <w:rsid w:val="007C0AC3"/>
    <w:rsid w:val="007D2118"/>
    <w:rsid w:val="007E7201"/>
    <w:rsid w:val="007E76BC"/>
    <w:rsid w:val="007F2B0B"/>
    <w:rsid w:val="008361EB"/>
    <w:rsid w:val="008419E9"/>
    <w:rsid w:val="00846897"/>
    <w:rsid w:val="00850C4F"/>
    <w:rsid w:val="00865132"/>
    <w:rsid w:val="008769EF"/>
    <w:rsid w:val="00881381"/>
    <w:rsid w:val="00883ECB"/>
    <w:rsid w:val="00892846"/>
    <w:rsid w:val="008946FA"/>
    <w:rsid w:val="008A1398"/>
    <w:rsid w:val="008A1837"/>
    <w:rsid w:val="008A388E"/>
    <w:rsid w:val="008C0966"/>
    <w:rsid w:val="008C1A56"/>
    <w:rsid w:val="008D4373"/>
    <w:rsid w:val="008D5849"/>
    <w:rsid w:val="008D7054"/>
    <w:rsid w:val="008E312C"/>
    <w:rsid w:val="008E78E6"/>
    <w:rsid w:val="008F43B6"/>
    <w:rsid w:val="008F6222"/>
    <w:rsid w:val="008F6A5A"/>
    <w:rsid w:val="009025C1"/>
    <w:rsid w:val="00905C38"/>
    <w:rsid w:val="00907DBA"/>
    <w:rsid w:val="00913892"/>
    <w:rsid w:val="0092193B"/>
    <w:rsid w:val="009229AD"/>
    <w:rsid w:val="0094372F"/>
    <w:rsid w:val="009541F2"/>
    <w:rsid w:val="009551F2"/>
    <w:rsid w:val="00964EFE"/>
    <w:rsid w:val="00973033"/>
    <w:rsid w:val="00983C6B"/>
    <w:rsid w:val="009868D6"/>
    <w:rsid w:val="00987653"/>
    <w:rsid w:val="00995362"/>
    <w:rsid w:val="00996D41"/>
    <w:rsid w:val="009A5F5A"/>
    <w:rsid w:val="009A755B"/>
    <w:rsid w:val="009B0CAB"/>
    <w:rsid w:val="009B3D11"/>
    <w:rsid w:val="009C00DF"/>
    <w:rsid w:val="009D4F78"/>
    <w:rsid w:val="009E0268"/>
    <w:rsid w:val="009E1C96"/>
    <w:rsid w:val="009F1B70"/>
    <w:rsid w:val="009F2D5C"/>
    <w:rsid w:val="009F6EBC"/>
    <w:rsid w:val="00A00772"/>
    <w:rsid w:val="00A0184C"/>
    <w:rsid w:val="00A1417F"/>
    <w:rsid w:val="00A25B51"/>
    <w:rsid w:val="00A42301"/>
    <w:rsid w:val="00A4711C"/>
    <w:rsid w:val="00A633EB"/>
    <w:rsid w:val="00A64328"/>
    <w:rsid w:val="00A6432A"/>
    <w:rsid w:val="00A66729"/>
    <w:rsid w:val="00A7136B"/>
    <w:rsid w:val="00A75C63"/>
    <w:rsid w:val="00A9152D"/>
    <w:rsid w:val="00AA2AB0"/>
    <w:rsid w:val="00AA39AC"/>
    <w:rsid w:val="00AD4DFF"/>
    <w:rsid w:val="00AD7B7A"/>
    <w:rsid w:val="00AF5D91"/>
    <w:rsid w:val="00B0261D"/>
    <w:rsid w:val="00B13369"/>
    <w:rsid w:val="00B170EA"/>
    <w:rsid w:val="00B172B8"/>
    <w:rsid w:val="00B26AB3"/>
    <w:rsid w:val="00B36FBC"/>
    <w:rsid w:val="00B40A2F"/>
    <w:rsid w:val="00B46E62"/>
    <w:rsid w:val="00B5021D"/>
    <w:rsid w:val="00B553A6"/>
    <w:rsid w:val="00B67C80"/>
    <w:rsid w:val="00B77CD1"/>
    <w:rsid w:val="00B80D55"/>
    <w:rsid w:val="00B8345D"/>
    <w:rsid w:val="00B86914"/>
    <w:rsid w:val="00B958BA"/>
    <w:rsid w:val="00BA3361"/>
    <w:rsid w:val="00BA3A67"/>
    <w:rsid w:val="00BA61AF"/>
    <w:rsid w:val="00BB53A8"/>
    <w:rsid w:val="00BB762F"/>
    <w:rsid w:val="00BC7AFB"/>
    <w:rsid w:val="00BD6B56"/>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C3144"/>
    <w:rsid w:val="00CD042D"/>
    <w:rsid w:val="00CD3DB4"/>
    <w:rsid w:val="00CD4D18"/>
    <w:rsid w:val="00CE0598"/>
    <w:rsid w:val="00CF1B81"/>
    <w:rsid w:val="00D209A0"/>
    <w:rsid w:val="00D222F0"/>
    <w:rsid w:val="00D24750"/>
    <w:rsid w:val="00D255F6"/>
    <w:rsid w:val="00D27F02"/>
    <w:rsid w:val="00D3067D"/>
    <w:rsid w:val="00D43583"/>
    <w:rsid w:val="00D463C8"/>
    <w:rsid w:val="00D47730"/>
    <w:rsid w:val="00D50C5D"/>
    <w:rsid w:val="00D56B43"/>
    <w:rsid w:val="00D60C4A"/>
    <w:rsid w:val="00D610F4"/>
    <w:rsid w:val="00D70103"/>
    <w:rsid w:val="00D74CDB"/>
    <w:rsid w:val="00D764A0"/>
    <w:rsid w:val="00D76DA7"/>
    <w:rsid w:val="00D80139"/>
    <w:rsid w:val="00D86E52"/>
    <w:rsid w:val="00D93903"/>
    <w:rsid w:val="00DA495F"/>
    <w:rsid w:val="00DB11B2"/>
    <w:rsid w:val="00DC255C"/>
    <w:rsid w:val="00DC592F"/>
    <w:rsid w:val="00DC7CDA"/>
    <w:rsid w:val="00DE1284"/>
    <w:rsid w:val="00DE4EAE"/>
    <w:rsid w:val="00DE70DB"/>
    <w:rsid w:val="00DE7227"/>
    <w:rsid w:val="00DF2638"/>
    <w:rsid w:val="00E054C0"/>
    <w:rsid w:val="00E1080E"/>
    <w:rsid w:val="00E17F42"/>
    <w:rsid w:val="00E244FF"/>
    <w:rsid w:val="00E2677E"/>
    <w:rsid w:val="00E43272"/>
    <w:rsid w:val="00E44AFC"/>
    <w:rsid w:val="00E55AFD"/>
    <w:rsid w:val="00E6688D"/>
    <w:rsid w:val="00E674AE"/>
    <w:rsid w:val="00E96339"/>
    <w:rsid w:val="00EA4D5C"/>
    <w:rsid w:val="00EA53D2"/>
    <w:rsid w:val="00EA6851"/>
    <w:rsid w:val="00EA7A64"/>
    <w:rsid w:val="00EB54FA"/>
    <w:rsid w:val="00EC5379"/>
    <w:rsid w:val="00ED2A42"/>
    <w:rsid w:val="00ED5CF6"/>
    <w:rsid w:val="00EE1177"/>
    <w:rsid w:val="00EF0551"/>
    <w:rsid w:val="00EF081C"/>
    <w:rsid w:val="00EF32C9"/>
    <w:rsid w:val="00F20EAD"/>
    <w:rsid w:val="00F220CD"/>
    <w:rsid w:val="00F26B86"/>
    <w:rsid w:val="00F31805"/>
    <w:rsid w:val="00F36003"/>
    <w:rsid w:val="00F475A6"/>
    <w:rsid w:val="00F55893"/>
    <w:rsid w:val="00F55919"/>
    <w:rsid w:val="00F61CE2"/>
    <w:rsid w:val="00F63F57"/>
    <w:rsid w:val="00F646C9"/>
    <w:rsid w:val="00F71B35"/>
    <w:rsid w:val="00F739F4"/>
    <w:rsid w:val="00F81818"/>
    <w:rsid w:val="00F81D38"/>
    <w:rsid w:val="00F82413"/>
    <w:rsid w:val="00F845F2"/>
    <w:rsid w:val="00F86709"/>
    <w:rsid w:val="00F9008B"/>
    <w:rsid w:val="00F91926"/>
    <w:rsid w:val="00F95D9E"/>
    <w:rsid w:val="00FA26A6"/>
    <w:rsid w:val="00FA2F7E"/>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2018-12-07T14:32:00Z</cp:lastPrinted>
  <dcterms:created xsi:type="dcterms:W3CDTF">2019-01-16T11:05:00Z</dcterms:created>
  <dcterms:modified xsi:type="dcterms:W3CDTF">2019-01-16T11:05:00Z</dcterms:modified>
</cp:coreProperties>
</file>