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CC7CDF"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8A20DB">
        <w:rPr>
          <w:rFonts w:ascii="Arial" w:eastAsia="Arial Unicode MS" w:hAnsi="Arial" w:cs="Arial"/>
          <w:b/>
          <w:color w:val="000000"/>
          <w:u w:color="000000"/>
        </w:rPr>
        <w:t>3</w:t>
      </w:r>
      <w:r w:rsidR="001C37E8" w:rsidRPr="001C37E8">
        <w:rPr>
          <w:rFonts w:ascii="Arial" w:eastAsia="Arial Unicode MS" w:hAnsi="Arial" w:cs="Arial"/>
          <w:b/>
          <w:color w:val="000000"/>
          <w:u w:color="000000"/>
        </w:rPr>
        <w:t>5</w:t>
      </w:r>
      <w:r w:rsidR="008A20DB">
        <w:rPr>
          <w:rFonts w:ascii="Arial" w:eastAsia="Arial Unicode MS" w:hAnsi="Arial" w:cs="Arial"/>
          <w:b/>
          <w:color w:val="000000"/>
          <w:u w:color="000000"/>
        </w:rPr>
        <w:t>0</w:t>
      </w:r>
    </w:p>
    <w:p w:rsidR="00BC4E9B" w:rsidRPr="001C37E8" w:rsidRDefault="00412E67"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1C37E8" w:rsidRPr="001C37E8">
        <w:rPr>
          <w:rFonts w:ascii="Arial" w:eastAsia="Arial Unicode MS" w:hAnsi="Arial" w:cs="Arial"/>
          <w:b/>
          <w:color w:val="000000"/>
          <w:u w:color="000000"/>
        </w:rPr>
        <w:t>16 February 2018</w:t>
      </w:r>
      <w:r w:rsidR="00E737FD" w:rsidRPr="001C37E8">
        <w:rPr>
          <w:rFonts w:ascii="Arial" w:eastAsia="Arial Unicode MS" w:hAnsi="Arial" w:cs="Arial"/>
          <w:b/>
          <w:color w:val="000000"/>
          <w:u w:color="000000"/>
        </w:rPr>
        <w:t xml:space="preserve"> </w:t>
      </w:r>
      <w:r w:rsidR="005625F2" w:rsidRPr="001C37E8">
        <w:rPr>
          <w:rFonts w:ascii="Arial" w:eastAsia="Arial Unicode MS" w:hAnsi="Arial" w:cs="Arial"/>
          <w:b/>
          <w:color w:val="000000"/>
          <w:u w:color="000000"/>
        </w:rPr>
        <w:t xml:space="preserve"> </w:t>
      </w:r>
      <w:r w:rsidR="00A85B8A" w:rsidRPr="001C37E8">
        <w:rPr>
          <w:rFonts w:ascii="Arial" w:eastAsia="Arial Unicode MS" w:hAnsi="Arial" w:cs="Arial"/>
          <w:b/>
          <w:color w:val="000000"/>
          <w:u w:color="000000"/>
        </w:rPr>
        <w:t xml:space="preserve"> </w:t>
      </w:r>
      <w:r w:rsidR="009842F7" w:rsidRPr="001C37E8">
        <w:rPr>
          <w:rFonts w:ascii="Arial" w:eastAsia="Arial Unicode MS" w:hAnsi="Arial" w:cs="Arial"/>
          <w:b/>
          <w:color w:val="000000"/>
          <w:u w:color="000000"/>
        </w:rPr>
        <w:t xml:space="preserve"> </w:t>
      </w:r>
    </w:p>
    <w:p w:rsidR="008A20DB" w:rsidRPr="008A20DB" w:rsidRDefault="008A20DB" w:rsidP="008A20DB">
      <w:pPr>
        <w:pStyle w:val="NormalWeb"/>
        <w:spacing w:line="276" w:lineRule="auto"/>
        <w:ind w:left="720" w:hanging="720"/>
        <w:jc w:val="both"/>
        <w:outlineLvl w:val="0"/>
        <w:rPr>
          <w:rFonts w:ascii="Arial" w:hAnsi="Arial" w:cs="Arial"/>
        </w:rPr>
      </w:pPr>
      <w:r w:rsidRPr="008A20DB">
        <w:rPr>
          <w:rFonts w:ascii="Arial" w:hAnsi="Arial" w:cs="Arial"/>
          <w:b/>
        </w:rPr>
        <w:t>Ms Z Jongbloed (DA) to ask the Minister of Economic Development:</w:t>
      </w:r>
    </w:p>
    <w:p w:rsidR="008A20DB" w:rsidRPr="008A20DB" w:rsidRDefault="008A20DB" w:rsidP="008A20DB">
      <w:pPr>
        <w:pStyle w:val="NormalWeb"/>
        <w:spacing w:line="276" w:lineRule="auto"/>
        <w:jc w:val="both"/>
        <w:outlineLvl w:val="0"/>
        <w:rPr>
          <w:rFonts w:ascii="Arial" w:hAnsi="Arial" w:cs="Arial"/>
        </w:rPr>
      </w:pPr>
      <w:r w:rsidRPr="008A20DB">
        <w:rPr>
          <w:rFonts w:ascii="Arial" w:hAnsi="Arial" w:cs="Arial"/>
        </w:rPr>
        <w:t>(a) What is the total amount that was (i) budgeted for and (ii) spent on his private office (aa) in each of the past three financial years and (bb) since 1 April 2017 and (b) what was the (i) remuneration, (ii) salary level, (iii) job title, (iv) qualification and (v) job description of each employee appointed in his private office in each of the specified periods?</w:t>
      </w:r>
      <w:r w:rsidRPr="008A20DB">
        <w:rPr>
          <w:rFonts w:ascii="Arial" w:hAnsi="Arial" w:cs="Arial"/>
        </w:rPr>
        <w:tab/>
        <w:t xml:space="preserve"> NW372E</w:t>
      </w:r>
    </w:p>
    <w:p w:rsidR="000F032E" w:rsidRPr="0022183D" w:rsidRDefault="000F032E" w:rsidP="0022183D">
      <w:pPr>
        <w:pStyle w:val="ListParagraph"/>
        <w:spacing w:line="360" w:lineRule="auto"/>
        <w:ind w:left="0"/>
        <w:jc w:val="both"/>
        <w:rPr>
          <w:rFonts w:ascii="Arial" w:hAnsi="Arial" w:cs="Arial"/>
          <w:color w:val="000000"/>
          <w:szCs w:val="24"/>
        </w:rPr>
      </w:pPr>
      <w:r w:rsidRPr="00547320">
        <w:rPr>
          <w:rFonts w:ascii="Arial" w:hAnsi="Arial" w:cs="Arial"/>
          <w:szCs w:val="24"/>
        </w:rPr>
        <w:tab/>
      </w:r>
      <w:r w:rsidRPr="00547320">
        <w:rPr>
          <w:rFonts w:ascii="Arial" w:hAnsi="Arial" w:cs="Arial"/>
          <w:szCs w:val="24"/>
        </w:rPr>
        <w:tab/>
      </w:r>
      <w:r w:rsidRPr="00547320">
        <w:rPr>
          <w:rFonts w:ascii="Arial" w:hAnsi="Arial" w:cs="Arial"/>
          <w:szCs w:val="24"/>
        </w:rPr>
        <w:tab/>
      </w:r>
      <w:r w:rsidRPr="00547320">
        <w:rPr>
          <w:rFonts w:ascii="Arial" w:hAnsi="Arial" w:cs="Arial"/>
          <w:szCs w:val="24"/>
        </w:rPr>
        <w:tab/>
      </w:r>
      <w:r w:rsidRPr="00547320">
        <w:rPr>
          <w:rFonts w:ascii="Arial" w:hAnsi="Arial" w:cs="Arial"/>
          <w:szCs w:val="24"/>
          <w:lang w:val="en-ZA"/>
        </w:rPr>
        <w:t xml:space="preserve">                                                                     </w:t>
      </w:r>
      <w:r w:rsidR="0022183D">
        <w:rPr>
          <w:rFonts w:ascii="Arial" w:hAnsi="Arial" w:cs="Arial"/>
          <w:szCs w:val="24"/>
          <w:lang w:val="en-ZA"/>
        </w:rPr>
        <w:t xml:space="preserve">      </w:t>
      </w:r>
    </w:p>
    <w:p w:rsidR="00373D6D" w:rsidRDefault="00494C9B" w:rsidP="004F1ED2">
      <w:pPr>
        <w:pStyle w:val="ListParagraph"/>
        <w:spacing w:line="360" w:lineRule="auto"/>
        <w:ind w:left="569" w:hangingChars="236" w:hanging="569"/>
        <w:jc w:val="both"/>
        <w:rPr>
          <w:rFonts w:ascii="Arial" w:hAnsi="Arial" w:cs="Arial"/>
          <w:b/>
          <w:szCs w:val="24"/>
        </w:rPr>
      </w:pPr>
      <w:r w:rsidRPr="00664CF9">
        <w:rPr>
          <w:rFonts w:ascii="Arial" w:hAnsi="Arial" w:cs="Arial"/>
          <w:b/>
          <w:szCs w:val="24"/>
        </w:rPr>
        <w:t>REPLY</w:t>
      </w:r>
    </w:p>
    <w:p w:rsidR="00D75C64" w:rsidRDefault="00D75C64" w:rsidP="007848F6">
      <w:pPr>
        <w:numPr>
          <w:ilvl w:val="0"/>
          <w:numId w:val="11"/>
        </w:numPr>
        <w:autoSpaceDE w:val="0"/>
        <w:autoSpaceDN w:val="0"/>
        <w:adjustRightInd w:val="0"/>
        <w:spacing w:line="276" w:lineRule="auto"/>
        <w:jc w:val="both"/>
        <w:rPr>
          <w:rFonts w:ascii="Arial" w:hAnsi="Arial" w:cs="Arial"/>
          <w:noProof/>
          <w:lang w:val="en-ZA" w:eastAsia="en-ZA"/>
        </w:rPr>
      </w:pPr>
      <w:r>
        <w:rPr>
          <w:rFonts w:ascii="Arial" w:hAnsi="Arial" w:cs="Arial"/>
          <w:noProof/>
          <w:lang w:val="en-ZA" w:eastAsia="en-ZA"/>
        </w:rPr>
        <w:t xml:space="preserve">The </w:t>
      </w:r>
      <w:r w:rsidR="00F75B65">
        <w:rPr>
          <w:rFonts w:ascii="Arial" w:hAnsi="Arial" w:cs="Arial"/>
          <w:noProof/>
          <w:lang w:val="en-ZA" w:eastAsia="en-ZA"/>
        </w:rPr>
        <w:t xml:space="preserve">audited </w:t>
      </w:r>
      <w:r>
        <w:rPr>
          <w:rFonts w:ascii="Arial" w:hAnsi="Arial" w:cs="Arial"/>
          <w:noProof/>
          <w:lang w:val="en-ZA" w:eastAsia="en-ZA"/>
        </w:rPr>
        <w:t>amount budget</w:t>
      </w:r>
      <w:r w:rsidR="003A2FD9">
        <w:rPr>
          <w:rFonts w:ascii="Arial" w:hAnsi="Arial" w:cs="Arial"/>
          <w:noProof/>
          <w:lang w:val="en-ZA" w:eastAsia="en-ZA"/>
        </w:rPr>
        <w:t>ed</w:t>
      </w:r>
      <w:r w:rsidR="00C56332">
        <w:rPr>
          <w:rFonts w:ascii="Arial" w:hAnsi="Arial" w:cs="Arial"/>
          <w:noProof/>
          <w:lang w:val="en-ZA" w:eastAsia="en-ZA"/>
        </w:rPr>
        <w:t xml:space="preserve"> fo</w:t>
      </w:r>
      <w:r w:rsidR="00E612AF">
        <w:rPr>
          <w:rFonts w:ascii="Arial" w:hAnsi="Arial" w:cs="Arial"/>
          <w:noProof/>
          <w:lang w:val="en-ZA" w:eastAsia="en-ZA"/>
        </w:rPr>
        <w:t>r</w:t>
      </w:r>
      <w:r w:rsidR="00C56332">
        <w:rPr>
          <w:rFonts w:ascii="Arial" w:hAnsi="Arial" w:cs="Arial"/>
          <w:noProof/>
          <w:lang w:val="en-ZA" w:eastAsia="en-ZA"/>
        </w:rPr>
        <w:t xml:space="preserve"> and spent by Ec</w:t>
      </w:r>
      <w:r>
        <w:rPr>
          <w:rFonts w:ascii="Arial" w:hAnsi="Arial" w:cs="Arial"/>
          <w:noProof/>
          <w:lang w:val="en-ZA" w:eastAsia="en-ZA"/>
        </w:rPr>
        <w:t>o</w:t>
      </w:r>
      <w:r w:rsidR="00C56332">
        <w:rPr>
          <w:rFonts w:ascii="Arial" w:hAnsi="Arial" w:cs="Arial"/>
          <w:noProof/>
          <w:lang w:val="en-ZA" w:eastAsia="en-ZA"/>
        </w:rPr>
        <w:t>no</w:t>
      </w:r>
      <w:r>
        <w:rPr>
          <w:rFonts w:ascii="Arial" w:hAnsi="Arial" w:cs="Arial"/>
          <w:noProof/>
          <w:lang w:val="en-ZA" w:eastAsia="en-ZA"/>
        </w:rPr>
        <w:t>mic Development Ministry (Offices of the Minister and Deputy M</w:t>
      </w:r>
      <w:r w:rsidR="00941AC9">
        <w:rPr>
          <w:rFonts w:ascii="Arial" w:hAnsi="Arial" w:cs="Arial"/>
          <w:noProof/>
          <w:lang w:val="en-ZA" w:eastAsia="en-ZA"/>
        </w:rPr>
        <w:t>i</w:t>
      </w:r>
      <w:r>
        <w:rPr>
          <w:rFonts w:ascii="Arial" w:hAnsi="Arial" w:cs="Arial"/>
          <w:noProof/>
          <w:lang w:val="en-ZA" w:eastAsia="en-ZA"/>
        </w:rPr>
        <w:t>nister) is</w:t>
      </w:r>
      <w:r w:rsidR="00F75B65">
        <w:rPr>
          <w:rFonts w:ascii="Arial" w:hAnsi="Arial" w:cs="Arial"/>
          <w:noProof/>
          <w:lang w:val="en-ZA" w:eastAsia="en-ZA"/>
        </w:rPr>
        <w:t xml:space="preserve"> </w:t>
      </w:r>
      <w:r>
        <w:rPr>
          <w:rFonts w:ascii="Arial" w:hAnsi="Arial" w:cs="Arial"/>
          <w:noProof/>
          <w:lang w:val="en-ZA" w:eastAsia="en-ZA"/>
        </w:rPr>
        <w:t>provided in the below table.</w:t>
      </w:r>
    </w:p>
    <w:p w:rsidR="007848F6" w:rsidRDefault="007848F6" w:rsidP="007848F6">
      <w:pPr>
        <w:autoSpaceDE w:val="0"/>
        <w:autoSpaceDN w:val="0"/>
        <w:adjustRightInd w:val="0"/>
        <w:spacing w:line="276" w:lineRule="auto"/>
        <w:jc w:val="both"/>
        <w:rPr>
          <w:rFonts w:ascii="Arial" w:hAnsi="Arial" w:cs="Arial"/>
          <w:noProof/>
          <w:lang w:val="en-ZA" w:eastAsia="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3079"/>
        <w:gridCol w:w="3079"/>
      </w:tblGrid>
      <w:tr w:rsidR="007848F6" w:rsidRPr="00B4590E" w:rsidTr="002F46B6">
        <w:tc>
          <w:tcPr>
            <w:tcW w:w="3078" w:type="dxa"/>
            <w:shd w:val="clear" w:color="auto" w:fill="D9D9D9"/>
          </w:tcPr>
          <w:p w:rsidR="007848F6" w:rsidRPr="00B4590E" w:rsidRDefault="007848F6" w:rsidP="002F46B6">
            <w:pPr>
              <w:autoSpaceDE w:val="0"/>
              <w:autoSpaceDN w:val="0"/>
              <w:adjustRightInd w:val="0"/>
              <w:spacing w:line="276" w:lineRule="auto"/>
              <w:jc w:val="both"/>
              <w:rPr>
                <w:rFonts w:ascii="Arial" w:hAnsi="Arial" w:cs="Arial"/>
                <w:noProof/>
                <w:lang w:val="en-ZA" w:eastAsia="en-ZA"/>
              </w:rPr>
            </w:pPr>
            <w:r w:rsidRPr="00B4590E">
              <w:rPr>
                <w:rFonts w:ascii="Arial" w:hAnsi="Arial" w:cs="Arial"/>
                <w:noProof/>
                <w:lang w:val="en-ZA" w:eastAsia="en-ZA"/>
              </w:rPr>
              <w:t>Year</w:t>
            </w:r>
          </w:p>
        </w:tc>
        <w:tc>
          <w:tcPr>
            <w:tcW w:w="3079" w:type="dxa"/>
            <w:shd w:val="clear" w:color="auto" w:fill="D9D9D9"/>
          </w:tcPr>
          <w:p w:rsidR="00A74E28" w:rsidRDefault="007848F6" w:rsidP="002F46B6">
            <w:pPr>
              <w:autoSpaceDE w:val="0"/>
              <w:autoSpaceDN w:val="0"/>
              <w:adjustRightInd w:val="0"/>
              <w:spacing w:line="276" w:lineRule="auto"/>
              <w:rPr>
                <w:rFonts w:ascii="Arial" w:hAnsi="Arial" w:cs="Arial"/>
                <w:noProof/>
                <w:lang w:val="en-ZA" w:eastAsia="en-ZA"/>
              </w:rPr>
            </w:pPr>
            <w:r w:rsidRPr="00B4590E">
              <w:rPr>
                <w:rFonts w:ascii="Arial" w:hAnsi="Arial" w:cs="Arial"/>
                <w:noProof/>
                <w:lang w:val="en-ZA" w:eastAsia="en-ZA"/>
              </w:rPr>
              <w:t xml:space="preserve">Inclusive Budgeted </w:t>
            </w:r>
          </w:p>
          <w:p w:rsidR="007848F6" w:rsidRPr="00B4590E" w:rsidRDefault="00A74E28" w:rsidP="002F46B6">
            <w:pPr>
              <w:autoSpaceDE w:val="0"/>
              <w:autoSpaceDN w:val="0"/>
              <w:adjustRightInd w:val="0"/>
              <w:spacing w:line="276" w:lineRule="auto"/>
              <w:rPr>
                <w:rFonts w:ascii="Arial" w:hAnsi="Arial" w:cs="Arial"/>
                <w:noProof/>
                <w:lang w:val="en-ZA" w:eastAsia="en-ZA"/>
              </w:rPr>
            </w:pPr>
            <w:r>
              <w:rPr>
                <w:rFonts w:ascii="Arial" w:hAnsi="Arial" w:cs="Arial"/>
                <w:noProof/>
                <w:lang w:val="en-ZA" w:eastAsia="en-ZA"/>
              </w:rPr>
              <w:t xml:space="preserve">R </w:t>
            </w:r>
            <w:r w:rsidR="003A2FD9">
              <w:rPr>
                <w:rFonts w:ascii="Arial" w:hAnsi="Arial" w:cs="Arial"/>
                <w:noProof/>
                <w:lang w:val="en-ZA" w:eastAsia="en-ZA"/>
              </w:rPr>
              <w:t>000</w:t>
            </w:r>
          </w:p>
          <w:p w:rsidR="007848F6" w:rsidRPr="00B4590E" w:rsidRDefault="007848F6" w:rsidP="002F46B6">
            <w:pPr>
              <w:autoSpaceDE w:val="0"/>
              <w:autoSpaceDN w:val="0"/>
              <w:adjustRightInd w:val="0"/>
              <w:spacing w:line="276" w:lineRule="auto"/>
              <w:rPr>
                <w:rFonts w:ascii="Arial" w:hAnsi="Arial" w:cs="Arial"/>
                <w:noProof/>
                <w:lang w:val="en-ZA" w:eastAsia="en-ZA"/>
              </w:rPr>
            </w:pPr>
          </w:p>
        </w:tc>
        <w:tc>
          <w:tcPr>
            <w:tcW w:w="3079" w:type="dxa"/>
            <w:shd w:val="clear" w:color="auto" w:fill="D9D9D9"/>
          </w:tcPr>
          <w:p w:rsidR="007848F6" w:rsidRDefault="007848F6" w:rsidP="002F46B6">
            <w:pPr>
              <w:autoSpaceDE w:val="0"/>
              <w:autoSpaceDN w:val="0"/>
              <w:adjustRightInd w:val="0"/>
              <w:spacing w:line="276" w:lineRule="auto"/>
              <w:rPr>
                <w:rFonts w:ascii="Arial" w:hAnsi="Arial" w:cs="Arial"/>
                <w:noProof/>
                <w:lang w:val="en-ZA" w:eastAsia="en-ZA"/>
              </w:rPr>
            </w:pPr>
            <w:r w:rsidRPr="00B4590E">
              <w:rPr>
                <w:rFonts w:ascii="Arial" w:hAnsi="Arial" w:cs="Arial"/>
                <w:noProof/>
                <w:lang w:val="en-ZA" w:eastAsia="en-ZA"/>
              </w:rPr>
              <w:t xml:space="preserve">Inclusive Expenditure </w:t>
            </w:r>
          </w:p>
          <w:p w:rsidR="00D75C64" w:rsidRPr="00B4590E" w:rsidRDefault="00D75C64" w:rsidP="003A2FD9">
            <w:pPr>
              <w:autoSpaceDE w:val="0"/>
              <w:autoSpaceDN w:val="0"/>
              <w:adjustRightInd w:val="0"/>
              <w:spacing w:line="276" w:lineRule="auto"/>
              <w:rPr>
                <w:rFonts w:ascii="Arial" w:hAnsi="Arial" w:cs="Arial"/>
                <w:noProof/>
                <w:lang w:val="en-ZA" w:eastAsia="en-ZA"/>
              </w:rPr>
            </w:pPr>
            <w:r>
              <w:rPr>
                <w:rFonts w:ascii="Arial" w:hAnsi="Arial" w:cs="Arial"/>
                <w:noProof/>
                <w:lang w:val="en-ZA" w:eastAsia="en-ZA"/>
              </w:rPr>
              <w:t xml:space="preserve">R </w:t>
            </w:r>
            <w:r w:rsidR="003A2FD9">
              <w:rPr>
                <w:rFonts w:ascii="Arial" w:hAnsi="Arial" w:cs="Arial"/>
                <w:noProof/>
                <w:lang w:val="en-ZA" w:eastAsia="en-ZA"/>
              </w:rPr>
              <w:t>000</w:t>
            </w:r>
          </w:p>
        </w:tc>
      </w:tr>
      <w:tr w:rsidR="007848F6" w:rsidRPr="00B4590E" w:rsidTr="002F46B6">
        <w:tc>
          <w:tcPr>
            <w:tcW w:w="3078" w:type="dxa"/>
            <w:shd w:val="clear" w:color="auto" w:fill="auto"/>
          </w:tcPr>
          <w:p w:rsidR="007848F6" w:rsidRPr="00B4590E" w:rsidRDefault="007848F6" w:rsidP="002F46B6">
            <w:pPr>
              <w:autoSpaceDE w:val="0"/>
              <w:autoSpaceDN w:val="0"/>
              <w:adjustRightInd w:val="0"/>
              <w:spacing w:line="276" w:lineRule="auto"/>
              <w:jc w:val="both"/>
              <w:rPr>
                <w:rFonts w:ascii="Arial" w:hAnsi="Arial" w:cs="Arial"/>
                <w:noProof/>
                <w:lang w:val="en-ZA" w:eastAsia="en-ZA"/>
              </w:rPr>
            </w:pPr>
            <w:r w:rsidRPr="00B4590E">
              <w:rPr>
                <w:rFonts w:ascii="Arial" w:hAnsi="Arial" w:cs="Arial"/>
                <w:noProof/>
                <w:lang w:val="en-ZA" w:eastAsia="en-ZA"/>
              </w:rPr>
              <w:t>2014/15</w:t>
            </w:r>
          </w:p>
        </w:tc>
        <w:tc>
          <w:tcPr>
            <w:tcW w:w="3079" w:type="dxa"/>
            <w:shd w:val="clear" w:color="auto" w:fill="auto"/>
          </w:tcPr>
          <w:p w:rsidR="007848F6" w:rsidRPr="00B4590E" w:rsidRDefault="007848F6" w:rsidP="002F46B6">
            <w:pPr>
              <w:autoSpaceDE w:val="0"/>
              <w:autoSpaceDN w:val="0"/>
              <w:adjustRightInd w:val="0"/>
              <w:spacing w:line="276" w:lineRule="auto"/>
              <w:jc w:val="both"/>
              <w:rPr>
                <w:rFonts w:ascii="Arial" w:hAnsi="Arial" w:cs="Arial"/>
                <w:noProof/>
                <w:lang w:val="en-ZA" w:eastAsia="en-ZA"/>
              </w:rPr>
            </w:pPr>
            <w:r w:rsidRPr="00B4590E">
              <w:rPr>
                <w:rFonts w:ascii="Arial" w:hAnsi="Arial" w:cs="Arial"/>
                <w:noProof/>
                <w:lang w:val="en-ZA" w:eastAsia="en-ZA"/>
              </w:rPr>
              <w:t xml:space="preserve">R 20 421 </w:t>
            </w:r>
          </w:p>
        </w:tc>
        <w:tc>
          <w:tcPr>
            <w:tcW w:w="3079" w:type="dxa"/>
            <w:shd w:val="clear" w:color="auto" w:fill="auto"/>
          </w:tcPr>
          <w:p w:rsidR="007848F6" w:rsidRPr="00B4590E" w:rsidRDefault="007848F6" w:rsidP="002F46B6">
            <w:pPr>
              <w:autoSpaceDE w:val="0"/>
              <w:autoSpaceDN w:val="0"/>
              <w:adjustRightInd w:val="0"/>
              <w:spacing w:line="276" w:lineRule="auto"/>
              <w:jc w:val="both"/>
              <w:rPr>
                <w:rFonts w:ascii="Arial" w:hAnsi="Arial" w:cs="Arial"/>
                <w:noProof/>
                <w:lang w:val="en-ZA" w:eastAsia="en-ZA"/>
              </w:rPr>
            </w:pPr>
            <w:r w:rsidRPr="00B4590E">
              <w:rPr>
                <w:rFonts w:ascii="Arial" w:hAnsi="Arial" w:cs="Arial"/>
                <w:noProof/>
                <w:lang w:val="en-ZA" w:eastAsia="en-ZA"/>
              </w:rPr>
              <w:t>R19 828</w:t>
            </w:r>
          </w:p>
        </w:tc>
      </w:tr>
      <w:tr w:rsidR="007848F6" w:rsidRPr="00B4590E" w:rsidTr="002F46B6">
        <w:tc>
          <w:tcPr>
            <w:tcW w:w="3078" w:type="dxa"/>
            <w:shd w:val="clear" w:color="auto" w:fill="auto"/>
          </w:tcPr>
          <w:p w:rsidR="007848F6" w:rsidRPr="00B4590E" w:rsidRDefault="007848F6" w:rsidP="002F46B6">
            <w:pPr>
              <w:autoSpaceDE w:val="0"/>
              <w:autoSpaceDN w:val="0"/>
              <w:adjustRightInd w:val="0"/>
              <w:spacing w:line="276" w:lineRule="auto"/>
              <w:jc w:val="both"/>
              <w:rPr>
                <w:rFonts w:ascii="Arial" w:hAnsi="Arial" w:cs="Arial"/>
                <w:noProof/>
                <w:lang w:val="en-ZA" w:eastAsia="en-ZA"/>
              </w:rPr>
            </w:pPr>
            <w:r w:rsidRPr="00B4590E">
              <w:rPr>
                <w:rFonts w:ascii="Arial" w:hAnsi="Arial" w:cs="Arial"/>
                <w:noProof/>
                <w:lang w:val="en-ZA" w:eastAsia="en-ZA"/>
              </w:rPr>
              <w:t>2015/16</w:t>
            </w:r>
          </w:p>
        </w:tc>
        <w:tc>
          <w:tcPr>
            <w:tcW w:w="3079" w:type="dxa"/>
            <w:shd w:val="clear" w:color="auto" w:fill="auto"/>
          </w:tcPr>
          <w:p w:rsidR="007848F6" w:rsidRPr="00B4590E" w:rsidRDefault="007848F6" w:rsidP="002F46B6">
            <w:pPr>
              <w:autoSpaceDE w:val="0"/>
              <w:autoSpaceDN w:val="0"/>
              <w:adjustRightInd w:val="0"/>
              <w:spacing w:line="276" w:lineRule="auto"/>
              <w:jc w:val="both"/>
              <w:rPr>
                <w:rFonts w:ascii="Arial" w:hAnsi="Arial" w:cs="Arial"/>
                <w:noProof/>
                <w:lang w:val="en-ZA" w:eastAsia="en-ZA"/>
              </w:rPr>
            </w:pPr>
            <w:r w:rsidRPr="00B4590E">
              <w:rPr>
                <w:rFonts w:ascii="Arial" w:hAnsi="Arial" w:cs="Arial"/>
                <w:noProof/>
                <w:lang w:val="en-ZA" w:eastAsia="en-ZA"/>
              </w:rPr>
              <w:t>R 20 163</w:t>
            </w:r>
          </w:p>
        </w:tc>
        <w:tc>
          <w:tcPr>
            <w:tcW w:w="3079" w:type="dxa"/>
            <w:shd w:val="clear" w:color="auto" w:fill="auto"/>
          </w:tcPr>
          <w:p w:rsidR="007848F6" w:rsidRPr="00B4590E" w:rsidRDefault="007848F6" w:rsidP="002F46B6">
            <w:pPr>
              <w:autoSpaceDE w:val="0"/>
              <w:autoSpaceDN w:val="0"/>
              <w:adjustRightInd w:val="0"/>
              <w:spacing w:line="276" w:lineRule="auto"/>
              <w:jc w:val="both"/>
              <w:rPr>
                <w:rFonts w:ascii="Arial" w:hAnsi="Arial" w:cs="Arial"/>
                <w:noProof/>
                <w:lang w:val="en-ZA" w:eastAsia="en-ZA"/>
              </w:rPr>
            </w:pPr>
            <w:r w:rsidRPr="00B4590E">
              <w:rPr>
                <w:rFonts w:ascii="Arial" w:hAnsi="Arial" w:cs="Arial"/>
                <w:noProof/>
                <w:lang w:val="en-ZA" w:eastAsia="en-ZA"/>
              </w:rPr>
              <w:t>R 20 160</w:t>
            </w:r>
          </w:p>
        </w:tc>
      </w:tr>
      <w:tr w:rsidR="007848F6" w:rsidRPr="00B4590E" w:rsidTr="002F46B6">
        <w:tc>
          <w:tcPr>
            <w:tcW w:w="3078" w:type="dxa"/>
            <w:shd w:val="clear" w:color="auto" w:fill="auto"/>
          </w:tcPr>
          <w:p w:rsidR="007848F6" w:rsidRPr="00B4590E" w:rsidRDefault="007848F6" w:rsidP="002F46B6">
            <w:pPr>
              <w:autoSpaceDE w:val="0"/>
              <w:autoSpaceDN w:val="0"/>
              <w:adjustRightInd w:val="0"/>
              <w:spacing w:line="276" w:lineRule="auto"/>
              <w:jc w:val="both"/>
              <w:rPr>
                <w:rFonts w:ascii="Arial" w:hAnsi="Arial" w:cs="Arial"/>
                <w:noProof/>
                <w:lang w:val="en-ZA" w:eastAsia="en-ZA"/>
              </w:rPr>
            </w:pPr>
            <w:r w:rsidRPr="00B4590E">
              <w:rPr>
                <w:rFonts w:ascii="Arial" w:hAnsi="Arial" w:cs="Arial"/>
                <w:noProof/>
                <w:lang w:val="en-ZA" w:eastAsia="en-ZA"/>
              </w:rPr>
              <w:t>2016/17</w:t>
            </w:r>
          </w:p>
        </w:tc>
        <w:tc>
          <w:tcPr>
            <w:tcW w:w="3079" w:type="dxa"/>
            <w:shd w:val="clear" w:color="auto" w:fill="auto"/>
          </w:tcPr>
          <w:p w:rsidR="007848F6" w:rsidRPr="00B4590E" w:rsidRDefault="007848F6" w:rsidP="002F46B6">
            <w:pPr>
              <w:autoSpaceDE w:val="0"/>
              <w:autoSpaceDN w:val="0"/>
              <w:adjustRightInd w:val="0"/>
              <w:spacing w:line="276" w:lineRule="auto"/>
              <w:jc w:val="both"/>
              <w:rPr>
                <w:rFonts w:ascii="Arial" w:hAnsi="Arial" w:cs="Arial"/>
                <w:noProof/>
                <w:lang w:val="en-ZA" w:eastAsia="en-ZA"/>
              </w:rPr>
            </w:pPr>
            <w:r w:rsidRPr="00B4590E">
              <w:rPr>
                <w:rFonts w:ascii="Arial" w:hAnsi="Arial" w:cs="Arial"/>
                <w:noProof/>
                <w:lang w:val="en-ZA" w:eastAsia="en-ZA"/>
              </w:rPr>
              <w:t>R 20 061</w:t>
            </w:r>
          </w:p>
        </w:tc>
        <w:tc>
          <w:tcPr>
            <w:tcW w:w="3079" w:type="dxa"/>
            <w:shd w:val="clear" w:color="auto" w:fill="auto"/>
          </w:tcPr>
          <w:p w:rsidR="007848F6" w:rsidRPr="00B4590E" w:rsidRDefault="007848F6" w:rsidP="002F46B6">
            <w:pPr>
              <w:autoSpaceDE w:val="0"/>
              <w:autoSpaceDN w:val="0"/>
              <w:adjustRightInd w:val="0"/>
              <w:spacing w:line="276" w:lineRule="auto"/>
              <w:jc w:val="both"/>
              <w:rPr>
                <w:rFonts w:ascii="Arial" w:hAnsi="Arial" w:cs="Arial"/>
                <w:noProof/>
                <w:lang w:val="en-ZA" w:eastAsia="en-ZA"/>
              </w:rPr>
            </w:pPr>
            <w:r w:rsidRPr="00B4590E">
              <w:rPr>
                <w:rFonts w:ascii="Arial" w:hAnsi="Arial" w:cs="Arial"/>
                <w:noProof/>
                <w:lang w:val="en-ZA" w:eastAsia="en-ZA"/>
              </w:rPr>
              <w:t>R 18 355</w:t>
            </w:r>
          </w:p>
        </w:tc>
      </w:tr>
    </w:tbl>
    <w:p w:rsidR="007848F6" w:rsidRDefault="007848F6" w:rsidP="0055159F">
      <w:pPr>
        <w:rPr>
          <w:rFonts w:ascii="Arial" w:hAnsi="Arial" w:cs="Arial"/>
          <w:sz w:val="22"/>
          <w:lang w:val="en-ZA" w:eastAsia="en-ZA"/>
        </w:rPr>
      </w:pPr>
      <w:r w:rsidRPr="00F10121">
        <w:rPr>
          <w:rFonts w:ascii="Arial" w:hAnsi="Arial" w:cs="Arial"/>
          <w:sz w:val="22"/>
          <w:lang w:val="en-ZA" w:eastAsia="en-ZA"/>
        </w:rPr>
        <w:t xml:space="preserve"> </w:t>
      </w:r>
    </w:p>
    <w:p w:rsidR="00034E48" w:rsidRPr="00034E48" w:rsidRDefault="00034E48" w:rsidP="00034E48">
      <w:pPr>
        <w:pStyle w:val="ListParagraph"/>
        <w:ind w:left="569" w:hangingChars="236" w:hanging="569"/>
        <w:jc w:val="both"/>
        <w:rPr>
          <w:rFonts w:ascii="Arial" w:hAnsi="Arial" w:cs="Arial"/>
          <w:b/>
          <w:lang w:val="en-ZA"/>
        </w:rPr>
      </w:pPr>
      <w:r w:rsidRPr="00034E48">
        <w:rPr>
          <w:rFonts w:ascii="Arial" w:hAnsi="Arial" w:cs="Arial"/>
          <w:b/>
          <w:lang w:val="en-ZA"/>
        </w:rPr>
        <w:t>*</w:t>
      </w:r>
      <w:r w:rsidRPr="00034E48">
        <w:rPr>
          <w:rFonts w:ascii="Arial" w:hAnsi="Arial" w:cs="Arial"/>
          <w:i/>
          <w:sz w:val="22"/>
          <w:lang w:val="en-ZA"/>
        </w:rPr>
        <w:t>the 2017/18 data is yet to be audited</w:t>
      </w:r>
      <w:r w:rsidRPr="00034E48">
        <w:rPr>
          <w:rFonts w:ascii="Arial" w:hAnsi="Arial" w:cs="Arial"/>
          <w:b/>
          <w:sz w:val="22"/>
          <w:lang w:val="en-ZA"/>
        </w:rPr>
        <w:t xml:space="preserve"> </w:t>
      </w:r>
    </w:p>
    <w:p w:rsidR="007848F6" w:rsidRPr="0055159F" w:rsidRDefault="007848F6" w:rsidP="0055159F">
      <w:pPr>
        <w:pStyle w:val="ListParagraph"/>
        <w:ind w:left="569" w:hangingChars="236" w:hanging="569"/>
        <w:jc w:val="both"/>
        <w:rPr>
          <w:rFonts w:ascii="Arial" w:hAnsi="Arial" w:cs="Arial"/>
          <w:b/>
          <w:szCs w:val="24"/>
        </w:rPr>
      </w:pPr>
    </w:p>
    <w:p w:rsidR="007848F6" w:rsidRPr="0055159F" w:rsidRDefault="007848F6" w:rsidP="0055159F">
      <w:pPr>
        <w:pStyle w:val="ListParagraph"/>
        <w:ind w:left="569" w:hangingChars="236" w:hanging="569"/>
        <w:jc w:val="both"/>
        <w:rPr>
          <w:rFonts w:ascii="Arial" w:hAnsi="Arial" w:cs="Arial"/>
          <w:b/>
          <w:szCs w:val="24"/>
        </w:rPr>
      </w:pPr>
    </w:p>
    <w:p w:rsidR="008A20DB" w:rsidRPr="0055159F" w:rsidRDefault="00826BE6" w:rsidP="0055159F">
      <w:pPr>
        <w:pStyle w:val="ListParagraph"/>
        <w:ind w:left="0"/>
        <w:jc w:val="both"/>
        <w:rPr>
          <w:rFonts w:ascii="Arial" w:hAnsi="Arial" w:cs="Arial"/>
          <w:i/>
          <w:szCs w:val="24"/>
          <w:lang w:val="en-ZA"/>
        </w:rPr>
      </w:pPr>
      <w:r w:rsidRPr="0055159F">
        <w:rPr>
          <w:rFonts w:ascii="Arial" w:hAnsi="Arial" w:cs="Arial"/>
          <w:szCs w:val="24"/>
          <w:lang w:val="en-ZA"/>
        </w:rPr>
        <w:t xml:space="preserve">(b) </w:t>
      </w:r>
      <w:r w:rsidR="008A20DB" w:rsidRPr="0055159F">
        <w:rPr>
          <w:rFonts w:ascii="Arial" w:hAnsi="Arial" w:cs="Arial"/>
          <w:szCs w:val="24"/>
          <w:lang w:val="en-ZA"/>
        </w:rPr>
        <w:t xml:space="preserve">In accordance </w:t>
      </w:r>
      <w:r w:rsidR="003A2FD9">
        <w:rPr>
          <w:rFonts w:ascii="Arial" w:hAnsi="Arial" w:cs="Arial"/>
          <w:szCs w:val="24"/>
          <w:lang w:val="en-ZA"/>
        </w:rPr>
        <w:t>with</w:t>
      </w:r>
      <w:r w:rsidR="008A20DB" w:rsidRPr="0055159F">
        <w:rPr>
          <w:rFonts w:ascii="Arial" w:hAnsi="Arial" w:cs="Arial"/>
          <w:szCs w:val="24"/>
          <w:lang w:val="en-ZA"/>
        </w:rPr>
        <w:t xml:space="preserve"> the Ministerial handbook for Members of the Executive and Presiding Officers, </w:t>
      </w:r>
      <w:r w:rsidR="008A20DB" w:rsidRPr="0055159F">
        <w:rPr>
          <w:rFonts w:ascii="Arial" w:hAnsi="Arial" w:cs="Arial"/>
          <w:i/>
          <w:szCs w:val="24"/>
          <w:lang w:val="en-ZA"/>
        </w:rPr>
        <w:t>“Executive Authorities may utilise the guideline for Private Offices of members that staff be (a) appointed either on a contract linked to the political term of office of the Executive Authority, (b) as full-time public servant utilising the job evaluation system, or (c) second personnel from components within the department.</w:t>
      </w:r>
    </w:p>
    <w:p w:rsidR="008A20DB" w:rsidRPr="0055159F" w:rsidRDefault="008A20DB" w:rsidP="0055159F">
      <w:pPr>
        <w:pStyle w:val="ListParagraph"/>
        <w:ind w:left="0"/>
        <w:jc w:val="both"/>
        <w:rPr>
          <w:rFonts w:ascii="Arial" w:hAnsi="Arial" w:cs="Arial"/>
          <w:i/>
          <w:szCs w:val="24"/>
          <w:lang w:val="en-ZA"/>
        </w:rPr>
      </w:pPr>
    </w:p>
    <w:p w:rsidR="008A20DB" w:rsidRPr="0055159F" w:rsidRDefault="008A20DB" w:rsidP="0055159F">
      <w:pPr>
        <w:pStyle w:val="ListParagraph"/>
        <w:ind w:left="0"/>
        <w:jc w:val="both"/>
        <w:rPr>
          <w:rFonts w:ascii="Arial" w:hAnsi="Arial" w:cs="Arial"/>
          <w:i/>
          <w:szCs w:val="24"/>
          <w:lang w:val="en-ZA"/>
        </w:rPr>
      </w:pPr>
      <w:r w:rsidRPr="0055159F">
        <w:rPr>
          <w:rFonts w:ascii="Arial" w:hAnsi="Arial" w:cs="Arial"/>
          <w:i/>
          <w:szCs w:val="24"/>
          <w:lang w:val="en-ZA"/>
        </w:rPr>
        <w:lastRenderedPageBreak/>
        <w:t>The core staff is determined by the Executing Authority, who may decide on the creation an</w:t>
      </w:r>
      <w:r w:rsidR="00941AC9">
        <w:rPr>
          <w:rFonts w:ascii="Arial" w:hAnsi="Arial" w:cs="Arial"/>
          <w:i/>
          <w:szCs w:val="24"/>
          <w:lang w:val="en-ZA"/>
        </w:rPr>
        <w:t>d grading of posts as identified</w:t>
      </w:r>
      <w:r w:rsidRPr="0055159F">
        <w:rPr>
          <w:rFonts w:ascii="Arial" w:hAnsi="Arial" w:cs="Arial"/>
          <w:i/>
          <w:szCs w:val="24"/>
          <w:lang w:val="en-ZA"/>
        </w:rPr>
        <w:t xml:space="preserve"> in their structure, based on proven needs and provided that sufficient funds are available in term</w:t>
      </w:r>
      <w:r w:rsidR="00941AC9">
        <w:rPr>
          <w:rFonts w:ascii="Arial" w:hAnsi="Arial" w:cs="Arial"/>
          <w:i/>
          <w:szCs w:val="24"/>
          <w:lang w:val="en-ZA"/>
        </w:rPr>
        <w:t>s</w:t>
      </w:r>
      <w:r w:rsidRPr="0055159F">
        <w:rPr>
          <w:rFonts w:ascii="Arial" w:hAnsi="Arial" w:cs="Arial"/>
          <w:i/>
          <w:szCs w:val="24"/>
          <w:lang w:val="en-ZA"/>
        </w:rPr>
        <w:t xml:space="preserve"> of the medium-term expenditure framework (MTEF) of the department</w:t>
      </w:r>
      <w:r w:rsidR="00F10121" w:rsidRPr="0055159F">
        <w:rPr>
          <w:rFonts w:ascii="Arial" w:hAnsi="Arial" w:cs="Arial"/>
          <w:i/>
          <w:szCs w:val="24"/>
          <w:lang w:val="en-ZA"/>
        </w:rPr>
        <w:t>.</w:t>
      </w:r>
      <w:r w:rsidRPr="0055159F">
        <w:rPr>
          <w:rFonts w:ascii="Arial" w:hAnsi="Arial" w:cs="Arial"/>
          <w:i/>
          <w:szCs w:val="24"/>
          <w:lang w:val="en-ZA"/>
        </w:rPr>
        <w:t>”</w:t>
      </w:r>
    </w:p>
    <w:p w:rsidR="00826BE6" w:rsidRPr="0055159F" w:rsidRDefault="00826BE6" w:rsidP="0055159F">
      <w:pPr>
        <w:pStyle w:val="ListParagraph"/>
        <w:ind w:left="0"/>
        <w:jc w:val="both"/>
        <w:rPr>
          <w:rFonts w:ascii="Arial" w:hAnsi="Arial" w:cs="Arial"/>
          <w:i/>
          <w:szCs w:val="24"/>
          <w:lang w:val="en-ZA"/>
        </w:rPr>
      </w:pPr>
    </w:p>
    <w:p w:rsidR="00826BE6" w:rsidRPr="0055159F" w:rsidRDefault="00D75C64" w:rsidP="0055159F">
      <w:pPr>
        <w:pStyle w:val="ListParagraph"/>
        <w:ind w:left="0"/>
        <w:jc w:val="both"/>
        <w:rPr>
          <w:rFonts w:ascii="Arial" w:hAnsi="Arial" w:cs="Arial"/>
          <w:szCs w:val="24"/>
          <w:lang w:val="en-ZA"/>
        </w:rPr>
      </w:pPr>
      <w:r w:rsidRPr="0055159F">
        <w:rPr>
          <w:rFonts w:ascii="Arial" w:hAnsi="Arial" w:cs="Arial"/>
          <w:szCs w:val="24"/>
          <w:lang w:val="en-ZA"/>
        </w:rPr>
        <w:t>Combined, the Office</w:t>
      </w:r>
      <w:r w:rsidR="00C56332">
        <w:rPr>
          <w:rFonts w:ascii="Arial" w:hAnsi="Arial" w:cs="Arial"/>
          <w:szCs w:val="24"/>
          <w:lang w:val="en-ZA"/>
        </w:rPr>
        <w:t>s</w:t>
      </w:r>
      <w:r w:rsidRPr="0055159F">
        <w:rPr>
          <w:rFonts w:ascii="Arial" w:hAnsi="Arial" w:cs="Arial"/>
          <w:szCs w:val="24"/>
          <w:lang w:val="en-ZA"/>
        </w:rPr>
        <w:t xml:space="preserve"> of the Minister and Deputy Minister</w:t>
      </w:r>
      <w:r w:rsidR="007848F6" w:rsidRPr="0055159F">
        <w:rPr>
          <w:rFonts w:ascii="Arial" w:hAnsi="Arial" w:cs="Arial"/>
          <w:szCs w:val="24"/>
          <w:lang w:val="en-ZA"/>
        </w:rPr>
        <w:t xml:space="preserve"> </w:t>
      </w:r>
      <w:r w:rsidR="00C56332">
        <w:rPr>
          <w:rFonts w:ascii="Arial" w:hAnsi="Arial" w:cs="Arial"/>
          <w:szCs w:val="24"/>
          <w:lang w:val="en-ZA"/>
        </w:rPr>
        <w:t>have</w:t>
      </w:r>
      <w:r w:rsidR="00826BE6" w:rsidRPr="0055159F">
        <w:rPr>
          <w:rFonts w:ascii="Arial" w:hAnsi="Arial" w:cs="Arial"/>
          <w:szCs w:val="24"/>
          <w:lang w:val="en-ZA"/>
        </w:rPr>
        <w:t xml:space="preserve"> </w:t>
      </w:r>
      <w:r w:rsidR="007848F6" w:rsidRPr="0055159F">
        <w:rPr>
          <w:rFonts w:ascii="Arial" w:hAnsi="Arial" w:cs="Arial"/>
          <w:szCs w:val="24"/>
          <w:lang w:val="en-ZA"/>
        </w:rPr>
        <w:t>a total of 17 staff members, composed of full-time</w:t>
      </w:r>
      <w:r w:rsidRPr="0055159F">
        <w:rPr>
          <w:rFonts w:ascii="Arial" w:hAnsi="Arial" w:cs="Arial"/>
          <w:szCs w:val="24"/>
          <w:lang w:val="en-ZA"/>
        </w:rPr>
        <w:t xml:space="preserve">, contract, </w:t>
      </w:r>
      <w:r w:rsidR="003A2FD9" w:rsidRPr="0055159F">
        <w:rPr>
          <w:rFonts w:ascii="Arial" w:hAnsi="Arial" w:cs="Arial"/>
          <w:szCs w:val="24"/>
          <w:lang w:val="en-ZA"/>
        </w:rPr>
        <w:t xml:space="preserve">seconded </w:t>
      </w:r>
      <w:r w:rsidRPr="0055159F">
        <w:rPr>
          <w:rFonts w:ascii="Arial" w:hAnsi="Arial" w:cs="Arial"/>
          <w:szCs w:val="24"/>
          <w:lang w:val="en-ZA"/>
        </w:rPr>
        <w:t xml:space="preserve">departmental </w:t>
      </w:r>
      <w:r w:rsidR="007848F6" w:rsidRPr="0055159F">
        <w:rPr>
          <w:rFonts w:ascii="Arial" w:hAnsi="Arial" w:cs="Arial"/>
          <w:szCs w:val="24"/>
          <w:lang w:val="en-ZA"/>
        </w:rPr>
        <w:t>officials</w:t>
      </w:r>
      <w:r w:rsidRPr="0055159F">
        <w:rPr>
          <w:rFonts w:ascii="Arial" w:hAnsi="Arial" w:cs="Arial"/>
          <w:szCs w:val="24"/>
          <w:lang w:val="en-ZA"/>
        </w:rPr>
        <w:t xml:space="preserve"> and advisors to the Minister</w:t>
      </w:r>
      <w:r w:rsidR="007848F6" w:rsidRPr="0055159F">
        <w:rPr>
          <w:rFonts w:ascii="Arial" w:hAnsi="Arial" w:cs="Arial"/>
          <w:szCs w:val="24"/>
          <w:lang w:val="en-ZA"/>
        </w:rPr>
        <w:t>.</w:t>
      </w:r>
    </w:p>
    <w:p w:rsidR="00826BE6" w:rsidRPr="0055159F" w:rsidRDefault="00826BE6" w:rsidP="0055159F">
      <w:pPr>
        <w:pStyle w:val="ListParagraph"/>
        <w:ind w:left="0"/>
        <w:jc w:val="both"/>
        <w:rPr>
          <w:rFonts w:ascii="Arial" w:hAnsi="Arial" w:cs="Arial"/>
          <w:i/>
          <w:szCs w:val="24"/>
          <w:lang w:val="en-ZA"/>
        </w:rPr>
      </w:pPr>
    </w:p>
    <w:p w:rsidR="00D75C64" w:rsidRPr="0055159F" w:rsidRDefault="00D75C64" w:rsidP="0055159F">
      <w:pPr>
        <w:spacing w:line="276" w:lineRule="auto"/>
        <w:jc w:val="both"/>
        <w:rPr>
          <w:rFonts w:ascii="Arial" w:hAnsi="Arial" w:cs="Arial"/>
        </w:rPr>
      </w:pPr>
      <w:r w:rsidRPr="0055159F">
        <w:rPr>
          <w:rFonts w:ascii="Arial" w:hAnsi="Arial" w:cs="Arial"/>
        </w:rPr>
        <w:t xml:space="preserve">I </w:t>
      </w:r>
      <w:r w:rsidR="00941AC9">
        <w:rPr>
          <w:rFonts w:ascii="Arial" w:hAnsi="Arial" w:cs="Arial"/>
        </w:rPr>
        <w:t xml:space="preserve">am advised </w:t>
      </w:r>
      <w:r w:rsidRPr="0055159F">
        <w:rPr>
          <w:rFonts w:ascii="Arial" w:hAnsi="Arial" w:cs="Arial"/>
        </w:rPr>
        <w:t>that i</w:t>
      </w:r>
      <w:r w:rsidR="00826BE6" w:rsidRPr="0055159F">
        <w:rPr>
          <w:rFonts w:ascii="Arial" w:hAnsi="Arial" w:cs="Arial"/>
        </w:rPr>
        <w:t xml:space="preserve">n line with the Protection of </w:t>
      </w:r>
      <w:r w:rsidR="0055159F" w:rsidRPr="0055159F">
        <w:rPr>
          <w:rFonts w:ascii="Arial" w:hAnsi="Arial" w:cs="Arial"/>
        </w:rPr>
        <w:t xml:space="preserve">Personal Information Act (PoPi) </w:t>
      </w:r>
      <w:r w:rsidR="00826BE6" w:rsidRPr="0055159F">
        <w:rPr>
          <w:rFonts w:ascii="Arial" w:hAnsi="Arial" w:cs="Arial"/>
        </w:rPr>
        <w:t>and the Basic Conditions of Employment Act, I am unable to provide the members with such confidential information in the manner it is requested.</w:t>
      </w:r>
      <w:r w:rsidRPr="0055159F">
        <w:rPr>
          <w:rFonts w:ascii="Arial" w:hAnsi="Arial" w:cs="Arial"/>
        </w:rPr>
        <w:t xml:space="preserve"> </w:t>
      </w:r>
    </w:p>
    <w:p w:rsidR="00D75C64" w:rsidRPr="0055159F" w:rsidRDefault="00D75C64" w:rsidP="0055159F">
      <w:pPr>
        <w:spacing w:line="276" w:lineRule="auto"/>
        <w:jc w:val="both"/>
        <w:rPr>
          <w:rFonts w:ascii="Arial" w:hAnsi="Arial" w:cs="Arial"/>
        </w:rPr>
      </w:pPr>
    </w:p>
    <w:p w:rsidR="00826BE6" w:rsidRPr="0055159F" w:rsidRDefault="00D75C64" w:rsidP="0055159F">
      <w:pPr>
        <w:spacing w:line="276" w:lineRule="auto"/>
        <w:jc w:val="both"/>
        <w:rPr>
          <w:rFonts w:ascii="Arial" w:hAnsi="Arial" w:cs="Arial"/>
        </w:rPr>
      </w:pPr>
      <w:r w:rsidRPr="0055159F">
        <w:rPr>
          <w:rFonts w:ascii="Arial" w:hAnsi="Arial" w:cs="Arial"/>
        </w:rPr>
        <w:t>I</w:t>
      </w:r>
      <w:r w:rsidR="00826BE6" w:rsidRPr="0055159F">
        <w:rPr>
          <w:rFonts w:ascii="Arial" w:hAnsi="Arial" w:cs="Arial"/>
        </w:rPr>
        <w:t xml:space="preserve"> however</w:t>
      </w:r>
      <w:r w:rsidR="0055159F">
        <w:rPr>
          <w:rFonts w:ascii="Arial" w:hAnsi="Arial" w:cs="Arial"/>
        </w:rPr>
        <w:t xml:space="preserve"> draw the H</w:t>
      </w:r>
      <w:r w:rsidR="00826BE6" w:rsidRPr="0055159F">
        <w:rPr>
          <w:rFonts w:ascii="Arial" w:hAnsi="Arial" w:cs="Arial"/>
        </w:rPr>
        <w:t xml:space="preserve">onourable </w:t>
      </w:r>
      <w:r w:rsidR="0055159F">
        <w:rPr>
          <w:rFonts w:ascii="Arial" w:hAnsi="Arial" w:cs="Arial"/>
        </w:rPr>
        <w:t>M</w:t>
      </w:r>
      <w:r w:rsidR="00826BE6" w:rsidRPr="0055159F">
        <w:rPr>
          <w:rFonts w:ascii="Arial" w:hAnsi="Arial" w:cs="Arial"/>
        </w:rPr>
        <w:t>ember to the</w:t>
      </w:r>
      <w:r w:rsidR="0055159F">
        <w:rPr>
          <w:rFonts w:ascii="Arial" w:hAnsi="Arial" w:cs="Arial"/>
        </w:rPr>
        <w:t xml:space="preserve"> D</w:t>
      </w:r>
      <w:r w:rsidR="00826BE6" w:rsidRPr="0055159F">
        <w:rPr>
          <w:rFonts w:ascii="Arial" w:hAnsi="Arial" w:cs="Arial"/>
        </w:rPr>
        <w:t xml:space="preserve">epartment’s </w:t>
      </w:r>
      <w:r w:rsidR="009574F4">
        <w:rPr>
          <w:rFonts w:ascii="Arial" w:hAnsi="Arial" w:cs="Arial"/>
        </w:rPr>
        <w:t xml:space="preserve">2016/17 </w:t>
      </w:r>
      <w:r w:rsidR="00826BE6" w:rsidRPr="0055159F">
        <w:rPr>
          <w:rFonts w:ascii="Arial" w:hAnsi="Arial" w:cs="Arial"/>
        </w:rPr>
        <w:t>Annual Report</w:t>
      </w:r>
      <w:r w:rsidR="00250A54">
        <w:rPr>
          <w:rFonts w:ascii="Arial" w:hAnsi="Arial" w:cs="Arial"/>
        </w:rPr>
        <w:t xml:space="preserve"> (from page 66) </w:t>
      </w:r>
      <w:r w:rsidR="00826BE6" w:rsidRPr="0055159F">
        <w:rPr>
          <w:rFonts w:ascii="Arial" w:hAnsi="Arial" w:cs="Arial"/>
        </w:rPr>
        <w:t xml:space="preserve">wherein the department provides </w:t>
      </w:r>
      <w:r w:rsidR="00250A54">
        <w:rPr>
          <w:rFonts w:ascii="Arial" w:hAnsi="Arial" w:cs="Arial"/>
        </w:rPr>
        <w:t xml:space="preserve">detailed </w:t>
      </w:r>
      <w:r w:rsidR="009574F4">
        <w:rPr>
          <w:rFonts w:ascii="Arial" w:hAnsi="Arial" w:cs="Arial"/>
        </w:rPr>
        <w:t>Human Resources Information</w:t>
      </w:r>
      <w:r w:rsidR="00826BE6" w:rsidRPr="0055159F">
        <w:rPr>
          <w:rFonts w:ascii="Arial" w:hAnsi="Arial" w:cs="Arial"/>
        </w:rPr>
        <w:t xml:space="preserve">. </w:t>
      </w:r>
    </w:p>
    <w:p w:rsidR="00826BE6" w:rsidRDefault="00826BE6" w:rsidP="008A20DB">
      <w:pPr>
        <w:pStyle w:val="ListParagraph"/>
        <w:ind w:left="0"/>
        <w:jc w:val="both"/>
        <w:rPr>
          <w:rFonts w:ascii="Arial" w:hAnsi="Arial" w:cs="Arial"/>
          <w:i/>
          <w:szCs w:val="24"/>
          <w:lang w:val="en-ZA"/>
        </w:rPr>
      </w:pPr>
    </w:p>
    <w:p w:rsidR="0055159F" w:rsidRPr="008A20DB" w:rsidRDefault="0055159F" w:rsidP="008A20DB">
      <w:pPr>
        <w:pStyle w:val="ListParagraph"/>
        <w:ind w:left="0"/>
        <w:jc w:val="both"/>
        <w:rPr>
          <w:rFonts w:ascii="Arial" w:hAnsi="Arial" w:cs="Arial"/>
          <w:i/>
          <w:szCs w:val="24"/>
          <w:lang w:val="en-ZA"/>
        </w:rPr>
      </w:pPr>
    </w:p>
    <w:p w:rsidR="00E31380" w:rsidRPr="00941AC9" w:rsidRDefault="00941AC9" w:rsidP="00941AC9">
      <w:pPr>
        <w:ind w:left="2880" w:firstLine="720"/>
        <w:rPr>
          <w:rFonts w:ascii="Arial" w:hAnsi="Arial" w:cs="Arial"/>
          <w:lang w:val="en-ZA" w:eastAsia="en-ZA"/>
        </w:rPr>
      </w:pPr>
      <w:r>
        <w:rPr>
          <w:rFonts w:ascii="Arial" w:eastAsia="Calibri" w:hAnsi="Arial" w:cs="Arial"/>
          <w:b/>
          <w:bCs/>
          <w:lang w:val="en-ZA"/>
        </w:rPr>
        <w:t>-END-</w:t>
      </w:r>
    </w:p>
    <w:p w:rsidR="00F10121" w:rsidRDefault="00F10121" w:rsidP="001C37E8">
      <w:pPr>
        <w:rPr>
          <w:rFonts w:ascii="Arial" w:hAnsi="Arial" w:cs="Arial"/>
          <w:lang w:val="en-ZA" w:eastAsia="en-ZA"/>
        </w:rPr>
      </w:pPr>
    </w:p>
    <w:sectPr w:rsidR="00F10121"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AC" w:rsidRDefault="001F00AC">
      <w:r>
        <w:separator/>
      </w:r>
    </w:p>
  </w:endnote>
  <w:endnote w:type="continuationSeparator" w:id="0">
    <w:p w:rsidR="001F00AC" w:rsidRDefault="001F0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1F00AC">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1C37E8">
      <w:rPr>
        <w:rFonts w:ascii="Arial" w:hAnsi="Arial" w:cs="Arial"/>
        <w:sz w:val="16"/>
        <w:szCs w:val="16"/>
      </w:rPr>
      <w:t>n No 35</w:t>
    </w:r>
    <w:r w:rsidR="00AF4FB7">
      <w:rPr>
        <w:rFonts w:ascii="Arial" w:hAnsi="Arial" w:cs="Arial"/>
        <w:sz w:val="16"/>
        <w:szCs w:val="16"/>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AC" w:rsidRDefault="001F00AC">
      <w:r>
        <w:separator/>
      </w:r>
    </w:p>
  </w:footnote>
  <w:footnote w:type="continuationSeparator" w:id="0">
    <w:p w:rsidR="001F00AC" w:rsidRDefault="001F0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0">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5"/>
  </w:num>
  <w:num w:numId="5">
    <w:abstractNumId w:val="8"/>
  </w:num>
  <w:num w:numId="6">
    <w:abstractNumId w:val="9"/>
  </w:num>
  <w:num w:numId="7">
    <w:abstractNumId w:val="1"/>
  </w:num>
  <w:num w:numId="8">
    <w:abstractNumId w:val="0"/>
  </w:num>
  <w:num w:numId="9">
    <w:abstractNumId w:val="2"/>
  </w:num>
  <w:num w:numId="10">
    <w:abstractNumId w:val="3"/>
  </w:num>
  <w:num w:numId="11">
    <w:abstractNumId w:val="6"/>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29CA"/>
    <w:rsid w:val="00034E48"/>
    <w:rsid w:val="000358B1"/>
    <w:rsid w:val="00035AB7"/>
    <w:rsid w:val="000377DB"/>
    <w:rsid w:val="00041A7C"/>
    <w:rsid w:val="0004322A"/>
    <w:rsid w:val="00043A13"/>
    <w:rsid w:val="0004551C"/>
    <w:rsid w:val="00045532"/>
    <w:rsid w:val="00050B29"/>
    <w:rsid w:val="000512C0"/>
    <w:rsid w:val="00054DDA"/>
    <w:rsid w:val="000558E0"/>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7B35"/>
    <w:rsid w:val="00135E7C"/>
    <w:rsid w:val="00136F0B"/>
    <w:rsid w:val="00140EE5"/>
    <w:rsid w:val="001425E9"/>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7E8"/>
    <w:rsid w:val="001C3C25"/>
    <w:rsid w:val="001C3F95"/>
    <w:rsid w:val="001D2724"/>
    <w:rsid w:val="001D7203"/>
    <w:rsid w:val="001E0A07"/>
    <w:rsid w:val="001F00AC"/>
    <w:rsid w:val="001F1ADA"/>
    <w:rsid w:val="001F1D92"/>
    <w:rsid w:val="001F63F2"/>
    <w:rsid w:val="001F7D18"/>
    <w:rsid w:val="00204815"/>
    <w:rsid w:val="00207022"/>
    <w:rsid w:val="00216D98"/>
    <w:rsid w:val="0022183D"/>
    <w:rsid w:val="002225C3"/>
    <w:rsid w:val="00233488"/>
    <w:rsid w:val="00241AF8"/>
    <w:rsid w:val="00246ECE"/>
    <w:rsid w:val="00247676"/>
    <w:rsid w:val="00250A54"/>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46B6"/>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2FD9"/>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25B"/>
    <w:rsid w:val="0045532A"/>
    <w:rsid w:val="00457861"/>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F01B2"/>
    <w:rsid w:val="004F1ED2"/>
    <w:rsid w:val="004F39DB"/>
    <w:rsid w:val="004F4A2F"/>
    <w:rsid w:val="00516941"/>
    <w:rsid w:val="00522058"/>
    <w:rsid w:val="00525033"/>
    <w:rsid w:val="0053211B"/>
    <w:rsid w:val="005400B2"/>
    <w:rsid w:val="00540E36"/>
    <w:rsid w:val="00544AAC"/>
    <w:rsid w:val="00547320"/>
    <w:rsid w:val="00547607"/>
    <w:rsid w:val="0055159F"/>
    <w:rsid w:val="00552105"/>
    <w:rsid w:val="005522C9"/>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5CAC"/>
    <w:rsid w:val="005E7837"/>
    <w:rsid w:val="005F043C"/>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46790"/>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25BB"/>
    <w:rsid w:val="007132FC"/>
    <w:rsid w:val="007153DF"/>
    <w:rsid w:val="00716E08"/>
    <w:rsid w:val="007230DF"/>
    <w:rsid w:val="00723C46"/>
    <w:rsid w:val="0073609B"/>
    <w:rsid w:val="00737EA3"/>
    <w:rsid w:val="00737EF4"/>
    <w:rsid w:val="00742419"/>
    <w:rsid w:val="00742CCB"/>
    <w:rsid w:val="00744417"/>
    <w:rsid w:val="00747A23"/>
    <w:rsid w:val="007608B9"/>
    <w:rsid w:val="00766298"/>
    <w:rsid w:val="00766A72"/>
    <w:rsid w:val="00773C77"/>
    <w:rsid w:val="007751D8"/>
    <w:rsid w:val="00777937"/>
    <w:rsid w:val="0078144A"/>
    <w:rsid w:val="007829B3"/>
    <w:rsid w:val="007848F6"/>
    <w:rsid w:val="00787E49"/>
    <w:rsid w:val="0079129F"/>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12866"/>
    <w:rsid w:val="0082117B"/>
    <w:rsid w:val="008212B0"/>
    <w:rsid w:val="0082595A"/>
    <w:rsid w:val="00826BE6"/>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20DB"/>
    <w:rsid w:val="008A3C1D"/>
    <w:rsid w:val="008B01D5"/>
    <w:rsid w:val="008B05FC"/>
    <w:rsid w:val="008B2008"/>
    <w:rsid w:val="008B2F34"/>
    <w:rsid w:val="008C0220"/>
    <w:rsid w:val="008C4E9B"/>
    <w:rsid w:val="008D07CF"/>
    <w:rsid w:val="008D233A"/>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053C"/>
    <w:rsid w:val="009319A8"/>
    <w:rsid w:val="00931C23"/>
    <w:rsid w:val="009358E0"/>
    <w:rsid w:val="00940053"/>
    <w:rsid w:val="00941AC9"/>
    <w:rsid w:val="00942FDD"/>
    <w:rsid w:val="0095044F"/>
    <w:rsid w:val="00951912"/>
    <w:rsid w:val="009574F4"/>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205A3"/>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28"/>
    <w:rsid w:val="00A74EB2"/>
    <w:rsid w:val="00A7565B"/>
    <w:rsid w:val="00A83701"/>
    <w:rsid w:val="00A85B8A"/>
    <w:rsid w:val="00A9144B"/>
    <w:rsid w:val="00A9436D"/>
    <w:rsid w:val="00A9550B"/>
    <w:rsid w:val="00AA0780"/>
    <w:rsid w:val="00AA1EA8"/>
    <w:rsid w:val="00AB0824"/>
    <w:rsid w:val="00AB30DE"/>
    <w:rsid w:val="00AC0D56"/>
    <w:rsid w:val="00AC76E8"/>
    <w:rsid w:val="00AD1134"/>
    <w:rsid w:val="00AD12AB"/>
    <w:rsid w:val="00AD2102"/>
    <w:rsid w:val="00AD3D07"/>
    <w:rsid w:val="00AD40B3"/>
    <w:rsid w:val="00AD4554"/>
    <w:rsid w:val="00AD53BB"/>
    <w:rsid w:val="00AE4388"/>
    <w:rsid w:val="00AE54E0"/>
    <w:rsid w:val="00AE557B"/>
    <w:rsid w:val="00AF05CB"/>
    <w:rsid w:val="00AF4FB7"/>
    <w:rsid w:val="00AF63ED"/>
    <w:rsid w:val="00B01495"/>
    <w:rsid w:val="00B02100"/>
    <w:rsid w:val="00B04223"/>
    <w:rsid w:val="00B0457E"/>
    <w:rsid w:val="00B05A0F"/>
    <w:rsid w:val="00B11748"/>
    <w:rsid w:val="00B12BC7"/>
    <w:rsid w:val="00B2060C"/>
    <w:rsid w:val="00B213B9"/>
    <w:rsid w:val="00B25519"/>
    <w:rsid w:val="00B2678D"/>
    <w:rsid w:val="00B409B7"/>
    <w:rsid w:val="00B40F0C"/>
    <w:rsid w:val="00B4590E"/>
    <w:rsid w:val="00B46C1F"/>
    <w:rsid w:val="00B54B9E"/>
    <w:rsid w:val="00B556FF"/>
    <w:rsid w:val="00B619C6"/>
    <w:rsid w:val="00B6330E"/>
    <w:rsid w:val="00B749B3"/>
    <w:rsid w:val="00B80F96"/>
    <w:rsid w:val="00B81006"/>
    <w:rsid w:val="00B82479"/>
    <w:rsid w:val="00B87B41"/>
    <w:rsid w:val="00B94C08"/>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486C"/>
    <w:rsid w:val="00C15419"/>
    <w:rsid w:val="00C461C9"/>
    <w:rsid w:val="00C50CEA"/>
    <w:rsid w:val="00C511F0"/>
    <w:rsid w:val="00C5539D"/>
    <w:rsid w:val="00C56332"/>
    <w:rsid w:val="00C626ED"/>
    <w:rsid w:val="00C66A7D"/>
    <w:rsid w:val="00C7051B"/>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C7CDF"/>
    <w:rsid w:val="00CD13B6"/>
    <w:rsid w:val="00CD202C"/>
    <w:rsid w:val="00CD3F59"/>
    <w:rsid w:val="00CD5069"/>
    <w:rsid w:val="00CE17E4"/>
    <w:rsid w:val="00CE51A7"/>
    <w:rsid w:val="00CE65E5"/>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71B5"/>
    <w:rsid w:val="00D351E8"/>
    <w:rsid w:val="00D405E7"/>
    <w:rsid w:val="00D407FA"/>
    <w:rsid w:val="00D410B2"/>
    <w:rsid w:val="00D44EE9"/>
    <w:rsid w:val="00D5104C"/>
    <w:rsid w:val="00D5637B"/>
    <w:rsid w:val="00D56C21"/>
    <w:rsid w:val="00D630DE"/>
    <w:rsid w:val="00D6332A"/>
    <w:rsid w:val="00D64D5A"/>
    <w:rsid w:val="00D70CA0"/>
    <w:rsid w:val="00D75C64"/>
    <w:rsid w:val="00D77269"/>
    <w:rsid w:val="00D81033"/>
    <w:rsid w:val="00D810A2"/>
    <w:rsid w:val="00D879C9"/>
    <w:rsid w:val="00D9347C"/>
    <w:rsid w:val="00D94C81"/>
    <w:rsid w:val="00D96F0D"/>
    <w:rsid w:val="00DA33A6"/>
    <w:rsid w:val="00DA3748"/>
    <w:rsid w:val="00DA4738"/>
    <w:rsid w:val="00DA6422"/>
    <w:rsid w:val="00DA7482"/>
    <w:rsid w:val="00DB0DAE"/>
    <w:rsid w:val="00DB15C2"/>
    <w:rsid w:val="00DB56B6"/>
    <w:rsid w:val="00DC4DC2"/>
    <w:rsid w:val="00DD74B7"/>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1380"/>
    <w:rsid w:val="00E350A1"/>
    <w:rsid w:val="00E367A7"/>
    <w:rsid w:val="00E368AA"/>
    <w:rsid w:val="00E37329"/>
    <w:rsid w:val="00E43673"/>
    <w:rsid w:val="00E4573E"/>
    <w:rsid w:val="00E51616"/>
    <w:rsid w:val="00E55C3D"/>
    <w:rsid w:val="00E600EE"/>
    <w:rsid w:val="00E612AF"/>
    <w:rsid w:val="00E65481"/>
    <w:rsid w:val="00E661AD"/>
    <w:rsid w:val="00E67C34"/>
    <w:rsid w:val="00E737FD"/>
    <w:rsid w:val="00E8147E"/>
    <w:rsid w:val="00E859B7"/>
    <w:rsid w:val="00E9203E"/>
    <w:rsid w:val="00E92507"/>
    <w:rsid w:val="00EA067D"/>
    <w:rsid w:val="00EA14E6"/>
    <w:rsid w:val="00EA37F5"/>
    <w:rsid w:val="00EA4542"/>
    <w:rsid w:val="00EA63C1"/>
    <w:rsid w:val="00EA70B1"/>
    <w:rsid w:val="00EC56B3"/>
    <w:rsid w:val="00EC7D9A"/>
    <w:rsid w:val="00ED09B7"/>
    <w:rsid w:val="00ED56C8"/>
    <w:rsid w:val="00ED5FAD"/>
    <w:rsid w:val="00ED6251"/>
    <w:rsid w:val="00ED6959"/>
    <w:rsid w:val="00EE00F8"/>
    <w:rsid w:val="00EE240E"/>
    <w:rsid w:val="00EE490B"/>
    <w:rsid w:val="00EE786B"/>
    <w:rsid w:val="00EF22F1"/>
    <w:rsid w:val="00EF6445"/>
    <w:rsid w:val="00F00B62"/>
    <w:rsid w:val="00F02B3C"/>
    <w:rsid w:val="00F04EAD"/>
    <w:rsid w:val="00F05059"/>
    <w:rsid w:val="00F06868"/>
    <w:rsid w:val="00F10121"/>
    <w:rsid w:val="00F10DE4"/>
    <w:rsid w:val="00F11733"/>
    <w:rsid w:val="00F27D97"/>
    <w:rsid w:val="00F348EC"/>
    <w:rsid w:val="00F35024"/>
    <w:rsid w:val="00F35202"/>
    <w:rsid w:val="00F4590A"/>
    <w:rsid w:val="00F549BE"/>
    <w:rsid w:val="00F61AB0"/>
    <w:rsid w:val="00F63F19"/>
    <w:rsid w:val="00F63F7D"/>
    <w:rsid w:val="00F676D3"/>
    <w:rsid w:val="00F67866"/>
    <w:rsid w:val="00F71F04"/>
    <w:rsid w:val="00F7503E"/>
    <w:rsid w:val="00F753DB"/>
    <w:rsid w:val="00F75B65"/>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s>
</file>

<file path=word/webSettings.xml><?xml version="1.0" encoding="utf-8"?>
<w:webSettings xmlns:r="http://schemas.openxmlformats.org/officeDocument/2006/relationships" xmlns:w="http://schemas.openxmlformats.org/wordprocessingml/2006/main">
  <w:divs>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589804522">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624E-AA65-4A3D-AF37-92E7371F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2018-03-08T06:50:00Z</cp:lastPrinted>
  <dcterms:created xsi:type="dcterms:W3CDTF">2018-03-20T11:28:00Z</dcterms:created>
  <dcterms:modified xsi:type="dcterms:W3CDTF">2018-03-20T11:28:00Z</dcterms:modified>
</cp:coreProperties>
</file>