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1523E8">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7234AD">
        <w:rPr>
          <w:rFonts w:ascii="Arial" w:hAnsi="Arial" w:cs="Arial"/>
          <w:b/>
          <w:bCs/>
        </w:rPr>
        <w:t>4</w:t>
      </w:r>
      <w:r w:rsidR="000366C7">
        <w:rPr>
          <w:rFonts w:ascii="Arial" w:hAnsi="Arial" w:cs="Arial"/>
          <w:b/>
          <w:bCs/>
        </w:rPr>
        <w:t>9</w:t>
      </w:r>
      <w:r w:rsidR="00A734D6">
        <w:rPr>
          <w:rFonts w:ascii="Arial" w:hAnsi="Arial" w:cs="Arial"/>
          <w:b/>
          <w:bCs/>
        </w:rPr>
        <w:t>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234AD">
        <w:rPr>
          <w:rFonts w:ascii="Arial" w:hAnsi="Arial" w:cs="Arial"/>
          <w:b/>
          <w:bCs/>
          <w:u w:val="single"/>
        </w:rPr>
        <w:t>11</w:t>
      </w:r>
      <w:r w:rsidR="00E103E5">
        <w:rPr>
          <w:rFonts w:ascii="Arial" w:hAnsi="Arial" w:cs="Arial"/>
          <w:b/>
          <w:bCs/>
          <w:u w:val="single"/>
        </w:rPr>
        <w:t>/</w:t>
      </w:r>
      <w:r w:rsidR="007468B1">
        <w:rPr>
          <w:rFonts w:ascii="Arial" w:hAnsi="Arial" w:cs="Arial"/>
          <w:b/>
          <w:bCs/>
          <w:u w:val="single"/>
        </w:rPr>
        <w:t>0</w:t>
      </w:r>
      <w:r w:rsidR="009640F5">
        <w:rPr>
          <w:rFonts w:ascii="Arial" w:hAnsi="Arial" w:cs="Arial"/>
          <w:b/>
          <w:bCs/>
          <w:u w:val="single"/>
        </w:rPr>
        <w:t>9</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7234AD">
        <w:rPr>
          <w:rFonts w:ascii="Arial" w:hAnsi="Arial" w:cs="Arial"/>
          <w:b/>
          <w:bCs/>
          <w:u w:val="single"/>
        </w:rPr>
        <w:t>7</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A734D6" w:rsidRPr="00A734D6" w:rsidRDefault="00A734D6" w:rsidP="00A734D6">
      <w:pPr>
        <w:spacing w:before="120" w:after="120" w:line="360" w:lineRule="auto"/>
        <w:ind w:left="709" w:hanging="709"/>
        <w:jc w:val="both"/>
        <w:rPr>
          <w:rFonts w:ascii="Arial" w:hAnsi="Arial" w:cs="Arial"/>
          <w:b/>
          <w:lang w:val="en-ZA"/>
        </w:rPr>
      </w:pPr>
      <w:r w:rsidRPr="00A734D6">
        <w:rPr>
          <w:rFonts w:ascii="Arial" w:hAnsi="Arial" w:cs="Arial"/>
          <w:b/>
          <w:lang w:val="en-ZA"/>
        </w:rPr>
        <w:t>Ms J F Terblanche (DA) to ask the Minister of Higher Education and Training:</w:t>
      </w:r>
    </w:p>
    <w:p w:rsidR="00A734D6" w:rsidRPr="00A734D6" w:rsidRDefault="00A734D6" w:rsidP="00A734D6">
      <w:pPr>
        <w:pStyle w:val="p0"/>
        <w:numPr>
          <w:ilvl w:val="0"/>
          <w:numId w:val="46"/>
        </w:numPr>
        <w:spacing w:before="120" w:after="120" w:line="360" w:lineRule="auto"/>
        <w:ind w:left="357" w:hanging="357"/>
        <w:jc w:val="both"/>
        <w:rPr>
          <w:rFonts w:ascii="Arial" w:hAnsi="Arial" w:cs="Arial"/>
          <w:sz w:val="22"/>
          <w:szCs w:val="22"/>
        </w:rPr>
      </w:pPr>
      <w:r w:rsidRPr="00A734D6">
        <w:rPr>
          <w:rFonts w:ascii="Arial" w:hAnsi="Arial" w:cs="Arial"/>
          <w:sz w:val="22"/>
          <w:szCs w:val="22"/>
        </w:rPr>
        <w:t>(a) What amount is the EastCape Midlands Technical and Vocational Education and Training College spending annually (i) on its own internal security arrangements internally and (ii) to hire external security firms and (b) what are the (i) names and (ii) details of each external security firm;</w:t>
      </w:r>
    </w:p>
    <w:p w:rsidR="00A734D6" w:rsidRPr="00A734D6" w:rsidRDefault="00A734D6" w:rsidP="00A734D6">
      <w:pPr>
        <w:pStyle w:val="p0"/>
        <w:numPr>
          <w:ilvl w:val="0"/>
          <w:numId w:val="46"/>
        </w:numPr>
        <w:spacing w:before="120" w:after="120" w:line="360" w:lineRule="auto"/>
        <w:ind w:left="357" w:hanging="357"/>
        <w:jc w:val="both"/>
        <w:rPr>
          <w:rFonts w:ascii="Arial" w:hAnsi="Arial" w:cs="Arial"/>
          <w:sz w:val="22"/>
          <w:szCs w:val="22"/>
        </w:rPr>
      </w:pPr>
      <w:r w:rsidRPr="00A734D6">
        <w:rPr>
          <w:rFonts w:ascii="Arial" w:hAnsi="Arial" w:cs="Arial"/>
          <w:sz w:val="22"/>
          <w:szCs w:val="22"/>
        </w:rPr>
        <w:t>is there a current budget deficit at specified college; if so, (a) how much is the budget deficit, (b) how did the deficit arise and (c) how does his department intend to resolve the deficit;</w:t>
      </w:r>
    </w:p>
    <w:p w:rsidR="00A734D6" w:rsidRDefault="00A734D6" w:rsidP="00A734D6">
      <w:pPr>
        <w:pStyle w:val="p0"/>
        <w:numPr>
          <w:ilvl w:val="0"/>
          <w:numId w:val="46"/>
        </w:numPr>
        <w:spacing w:before="120" w:after="120" w:line="360" w:lineRule="auto"/>
        <w:ind w:left="357" w:hanging="357"/>
        <w:jc w:val="both"/>
        <w:rPr>
          <w:rFonts w:ascii="Arial" w:hAnsi="Arial" w:cs="Arial"/>
          <w:sz w:val="22"/>
          <w:szCs w:val="22"/>
        </w:rPr>
      </w:pPr>
      <w:r w:rsidRPr="00A734D6">
        <w:rPr>
          <w:rFonts w:ascii="Arial" w:hAnsi="Arial" w:cs="Arial"/>
          <w:sz w:val="22"/>
          <w:szCs w:val="22"/>
        </w:rPr>
        <w:t>has any money from the National Student Financial Aid Scheme been used by the college for any purpose other than student loans and bursaries; if so, (a) why and (b)</w:t>
      </w:r>
      <w:r>
        <w:rPr>
          <w:rFonts w:ascii="Arial" w:hAnsi="Arial" w:cs="Arial"/>
          <w:sz w:val="22"/>
          <w:szCs w:val="22"/>
        </w:rPr>
        <w:t xml:space="preserve"> what are the relevant details?</w:t>
      </w:r>
    </w:p>
    <w:p w:rsidR="00A734D6" w:rsidRPr="00A734D6" w:rsidRDefault="00A734D6" w:rsidP="00A734D6">
      <w:pPr>
        <w:pStyle w:val="p0"/>
        <w:spacing w:before="120" w:after="120" w:line="360" w:lineRule="auto"/>
        <w:ind w:left="357"/>
        <w:jc w:val="right"/>
        <w:rPr>
          <w:rFonts w:ascii="Arial" w:hAnsi="Arial" w:cs="Arial"/>
          <w:b/>
          <w:sz w:val="22"/>
          <w:szCs w:val="22"/>
        </w:rPr>
      </w:pPr>
      <w:r w:rsidRPr="00A734D6">
        <w:rPr>
          <w:rFonts w:ascii="Arial" w:hAnsi="Arial" w:cs="Arial"/>
          <w:b/>
          <w:sz w:val="22"/>
          <w:szCs w:val="22"/>
        </w:rPr>
        <w:t>NW4154E</w:t>
      </w:r>
    </w:p>
    <w:p w:rsidR="00991268" w:rsidRDefault="00A734D6" w:rsidP="00B12371">
      <w:pPr>
        <w:pStyle w:val="p0"/>
        <w:spacing w:before="120" w:after="120" w:line="360" w:lineRule="auto"/>
        <w:ind w:left="357"/>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991268" w:rsidRPr="00682622" w:rsidRDefault="003E4744" w:rsidP="00B12371">
      <w:pPr>
        <w:pStyle w:val="p0"/>
        <w:numPr>
          <w:ilvl w:val="0"/>
          <w:numId w:val="49"/>
        </w:numPr>
        <w:tabs>
          <w:tab w:val="left" w:pos="709"/>
        </w:tabs>
        <w:spacing w:before="120" w:after="120" w:line="360" w:lineRule="auto"/>
        <w:ind w:left="1134" w:hanging="774"/>
        <w:jc w:val="both"/>
        <w:rPr>
          <w:rFonts w:ascii="Arial" w:hAnsi="Arial" w:cs="Arial"/>
          <w:sz w:val="22"/>
          <w:szCs w:val="22"/>
        </w:rPr>
      </w:pPr>
      <w:r w:rsidRPr="00682622">
        <w:rPr>
          <w:rFonts w:ascii="Arial" w:hAnsi="Arial" w:cs="Arial"/>
          <w:sz w:val="22"/>
          <w:szCs w:val="22"/>
        </w:rPr>
        <w:t xml:space="preserve">(a) </w:t>
      </w:r>
      <w:r w:rsidR="00991268" w:rsidRPr="00682622">
        <w:rPr>
          <w:rFonts w:ascii="Arial" w:hAnsi="Arial" w:cs="Arial"/>
          <w:sz w:val="22"/>
          <w:szCs w:val="22"/>
        </w:rPr>
        <w:t xml:space="preserve">The </w:t>
      </w:r>
      <w:r w:rsidR="00C1505F" w:rsidRPr="00682622">
        <w:rPr>
          <w:rFonts w:ascii="Arial" w:hAnsi="Arial" w:cs="Arial"/>
          <w:sz w:val="22"/>
          <w:szCs w:val="22"/>
        </w:rPr>
        <w:t xml:space="preserve">following </w:t>
      </w:r>
      <w:r w:rsidR="00991268" w:rsidRPr="00682622">
        <w:rPr>
          <w:rFonts w:ascii="Arial" w:hAnsi="Arial" w:cs="Arial"/>
          <w:sz w:val="22"/>
          <w:szCs w:val="22"/>
        </w:rPr>
        <w:t xml:space="preserve">table </w:t>
      </w:r>
      <w:r w:rsidR="00682622" w:rsidRPr="00682622">
        <w:rPr>
          <w:rFonts w:ascii="Arial" w:hAnsi="Arial" w:cs="Arial"/>
          <w:sz w:val="22"/>
          <w:szCs w:val="22"/>
        </w:rPr>
        <w:t xml:space="preserve">provides </w:t>
      </w:r>
      <w:r w:rsidR="00B12371">
        <w:rPr>
          <w:rFonts w:ascii="Arial" w:hAnsi="Arial" w:cs="Arial"/>
          <w:sz w:val="22"/>
          <w:szCs w:val="22"/>
        </w:rPr>
        <w:t>details of</w:t>
      </w:r>
      <w:r w:rsidR="00991268" w:rsidRPr="00682622">
        <w:rPr>
          <w:rFonts w:ascii="Arial" w:hAnsi="Arial" w:cs="Arial"/>
          <w:sz w:val="22"/>
          <w:szCs w:val="22"/>
        </w:rPr>
        <w:t xml:space="preserve"> the amounts spent by Eastcape Midlands</w:t>
      </w:r>
      <w:r w:rsidR="00682622" w:rsidRPr="00682622">
        <w:rPr>
          <w:rFonts w:ascii="Arial" w:hAnsi="Arial" w:cs="Arial"/>
          <w:sz w:val="22"/>
          <w:szCs w:val="22"/>
        </w:rPr>
        <w:t xml:space="preserve"> </w:t>
      </w:r>
      <w:r w:rsidR="00991268" w:rsidRPr="00682622">
        <w:rPr>
          <w:rFonts w:ascii="Arial" w:hAnsi="Arial" w:cs="Arial"/>
          <w:sz w:val="22"/>
          <w:szCs w:val="22"/>
        </w:rPr>
        <w:t>Technical and Vocational Education and Training College (EMC) on its internal and external security</w:t>
      </w:r>
      <w:r w:rsidR="00682622">
        <w:rPr>
          <w:rFonts w:ascii="Arial" w:hAnsi="Arial" w:cs="Arial"/>
          <w:sz w:val="22"/>
          <w:szCs w:val="22"/>
        </w:rPr>
        <w:t>.</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2808"/>
        <w:gridCol w:w="2772"/>
      </w:tblGrid>
      <w:tr w:rsidR="00AB0E5C" w:rsidRPr="001B0EFB" w:rsidTr="00B12371">
        <w:tc>
          <w:tcPr>
            <w:tcW w:w="3804" w:type="dxa"/>
            <w:shd w:val="clear" w:color="auto" w:fill="auto"/>
            <w:vAlign w:val="center"/>
          </w:tcPr>
          <w:p w:rsidR="00AB0E5C" w:rsidRPr="001B0EFB" w:rsidRDefault="00AB0E5C" w:rsidP="00B12371">
            <w:pPr>
              <w:spacing w:before="60" w:after="60" w:line="240" w:lineRule="auto"/>
              <w:jc w:val="center"/>
              <w:rPr>
                <w:rFonts w:ascii="Arial" w:hAnsi="Arial" w:cs="Arial"/>
                <w:b/>
              </w:rPr>
            </w:pPr>
            <w:r w:rsidRPr="001B0EFB">
              <w:rPr>
                <w:rFonts w:ascii="Arial" w:hAnsi="Arial" w:cs="Arial"/>
                <w:b/>
              </w:rPr>
              <w:t>Security</w:t>
            </w:r>
          </w:p>
        </w:tc>
        <w:tc>
          <w:tcPr>
            <w:tcW w:w="2808" w:type="dxa"/>
            <w:shd w:val="clear" w:color="auto" w:fill="auto"/>
            <w:vAlign w:val="center"/>
          </w:tcPr>
          <w:p w:rsidR="00AB0E5C" w:rsidRPr="001B0EFB" w:rsidRDefault="00AB0E5C" w:rsidP="00B12371">
            <w:pPr>
              <w:spacing w:before="60" w:after="60" w:line="240" w:lineRule="auto"/>
              <w:jc w:val="center"/>
              <w:rPr>
                <w:rFonts w:ascii="Arial" w:hAnsi="Arial" w:cs="Arial"/>
                <w:b/>
              </w:rPr>
            </w:pPr>
            <w:r>
              <w:rPr>
                <w:rFonts w:ascii="Arial" w:hAnsi="Arial" w:cs="Arial"/>
                <w:b/>
              </w:rPr>
              <w:t>Per month</w:t>
            </w:r>
          </w:p>
        </w:tc>
        <w:tc>
          <w:tcPr>
            <w:tcW w:w="2772" w:type="dxa"/>
            <w:vAlign w:val="center"/>
          </w:tcPr>
          <w:p w:rsidR="00AB0E5C" w:rsidRPr="001B0EFB" w:rsidRDefault="00AB0E5C" w:rsidP="00B12371">
            <w:pPr>
              <w:spacing w:before="60" w:after="60" w:line="240" w:lineRule="auto"/>
              <w:jc w:val="center"/>
              <w:rPr>
                <w:rFonts w:ascii="Arial" w:hAnsi="Arial" w:cs="Arial"/>
                <w:b/>
              </w:rPr>
            </w:pPr>
            <w:r>
              <w:rPr>
                <w:rFonts w:ascii="Arial" w:hAnsi="Arial" w:cs="Arial"/>
                <w:b/>
              </w:rPr>
              <w:t>Amount Spent from January to September 2015</w:t>
            </w:r>
          </w:p>
        </w:tc>
      </w:tr>
      <w:tr w:rsidR="00AB0E5C" w:rsidRPr="001B0EFB" w:rsidTr="00B12371">
        <w:tc>
          <w:tcPr>
            <w:tcW w:w="3804" w:type="dxa"/>
            <w:shd w:val="clear" w:color="auto" w:fill="auto"/>
            <w:vAlign w:val="center"/>
          </w:tcPr>
          <w:p w:rsidR="00AB0E5C" w:rsidRPr="001B0EFB" w:rsidRDefault="00AB0E5C" w:rsidP="00B12371">
            <w:pPr>
              <w:spacing w:before="60" w:after="60" w:line="240" w:lineRule="auto"/>
              <w:rPr>
                <w:rFonts w:ascii="Arial" w:hAnsi="Arial" w:cs="Arial"/>
              </w:rPr>
            </w:pPr>
            <w:r w:rsidRPr="001B0EFB">
              <w:rPr>
                <w:rFonts w:ascii="Arial" w:hAnsi="Arial" w:cs="Arial"/>
              </w:rPr>
              <w:t>1. Internal</w:t>
            </w:r>
          </w:p>
        </w:tc>
        <w:tc>
          <w:tcPr>
            <w:tcW w:w="2808" w:type="dxa"/>
            <w:shd w:val="clear" w:color="auto" w:fill="auto"/>
            <w:vAlign w:val="center"/>
          </w:tcPr>
          <w:p w:rsidR="00AB0E5C" w:rsidRPr="001B0EFB" w:rsidRDefault="00AB0E5C" w:rsidP="00B12371">
            <w:pPr>
              <w:spacing w:before="60" w:after="60" w:line="240" w:lineRule="auto"/>
              <w:jc w:val="right"/>
              <w:rPr>
                <w:rFonts w:ascii="Arial" w:hAnsi="Arial" w:cs="Arial"/>
              </w:rPr>
            </w:pPr>
            <w:r>
              <w:rPr>
                <w:rFonts w:ascii="Arial" w:hAnsi="Arial" w:cs="Arial"/>
              </w:rPr>
              <w:t>R45,417.00</w:t>
            </w:r>
          </w:p>
        </w:tc>
        <w:tc>
          <w:tcPr>
            <w:tcW w:w="2772" w:type="dxa"/>
            <w:vAlign w:val="center"/>
          </w:tcPr>
          <w:p w:rsidR="00AB0E5C" w:rsidRPr="001B0EFB" w:rsidRDefault="00AB0E5C" w:rsidP="00B12371">
            <w:pPr>
              <w:spacing w:before="60" w:after="60" w:line="240" w:lineRule="auto"/>
              <w:jc w:val="right"/>
              <w:rPr>
                <w:rFonts w:ascii="Arial" w:hAnsi="Arial" w:cs="Arial"/>
              </w:rPr>
            </w:pPr>
            <w:r>
              <w:rPr>
                <w:rFonts w:ascii="Arial" w:hAnsi="Arial" w:cs="Arial"/>
              </w:rPr>
              <w:t>R408,</w:t>
            </w:r>
            <w:r w:rsidRPr="001B0EFB">
              <w:rPr>
                <w:rFonts w:ascii="Arial" w:hAnsi="Arial" w:cs="Arial"/>
              </w:rPr>
              <w:t>753.00</w:t>
            </w:r>
          </w:p>
        </w:tc>
      </w:tr>
      <w:tr w:rsidR="00B12371" w:rsidRPr="001B0EFB" w:rsidTr="00B12371">
        <w:trPr>
          <w:trHeight w:val="465"/>
        </w:trPr>
        <w:tc>
          <w:tcPr>
            <w:tcW w:w="9384" w:type="dxa"/>
            <w:gridSpan w:val="3"/>
            <w:shd w:val="clear" w:color="auto" w:fill="auto"/>
            <w:vAlign w:val="center"/>
          </w:tcPr>
          <w:p w:rsidR="00B12371" w:rsidRPr="001B0EFB" w:rsidRDefault="00B12371" w:rsidP="00B12371">
            <w:pPr>
              <w:spacing w:before="60" w:after="60" w:line="240" w:lineRule="auto"/>
              <w:rPr>
                <w:rFonts w:ascii="Arial" w:hAnsi="Arial" w:cs="Arial"/>
              </w:rPr>
            </w:pPr>
            <w:r w:rsidRPr="001B0EFB">
              <w:rPr>
                <w:rFonts w:ascii="Arial" w:hAnsi="Arial" w:cs="Arial"/>
              </w:rPr>
              <w:t>2. External</w:t>
            </w:r>
          </w:p>
        </w:tc>
      </w:tr>
      <w:tr w:rsidR="00AB0E5C" w:rsidRPr="001B0EFB" w:rsidTr="00B12371">
        <w:trPr>
          <w:trHeight w:val="195"/>
        </w:trPr>
        <w:tc>
          <w:tcPr>
            <w:tcW w:w="3804" w:type="dxa"/>
            <w:shd w:val="clear" w:color="auto" w:fill="auto"/>
            <w:vAlign w:val="center"/>
          </w:tcPr>
          <w:p w:rsidR="00AB0E5C" w:rsidRPr="001B0EFB" w:rsidRDefault="00AB0E5C" w:rsidP="00B12371">
            <w:pPr>
              <w:spacing w:before="60" w:after="60" w:line="240" w:lineRule="auto"/>
              <w:ind w:left="317" w:hanging="317"/>
              <w:rPr>
                <w:rFonts w:ascii="Arial" w:hAnsi="Arial" w:cs="Arial"/>
              </w:rPr>
            </w:pPr>
            <w:r w:rsidRPr="001B0EFB">
              <w:rPr>
                <w:rFonts w:ascii="Arial" w:hAnsi="Arial" w:cs="Arial"/>
              </w:rPr>
              <w:t>(a) Metro Security Services</w:t>
            </w:r>
            <w:r>
              <w:rPr>
                <w:rFonts w:ascii="Arial" w:hAnsi="Arial" w:cs="Arial"/>
              </w:rPr>
              <w:t xml:space="preserve"> </w:t>
            </w:r>
            <w:r w:rsidR="00B44677">
              <w:rPr>
                <w:rFonts w:ascii="Arial" w:hAnsi="Arial" w:cs="Arial"/>
              </w:rPr>
              <w:t xml:space="preserve">          </w:t>
            </w:r>
            <w:r>
              <w:rPr>
                <w:rFonts w:ascii="Arial" w:hAnsi="Arial" w:cs="Arial"/>
              </w:rPr>
              <w:t>(3.5 months only)</w:t>
            </w:r>
          </w:p>
        </w:tc>
        <w:tc>
          <w:tcPr>
            <w:tcW w:w="2808" w:type="dxa"/>
            <w:shd w:val="clear" w:color="auto" w:fill="auto"/>
            <w:vAlign w:val="center"/>
          </w:tcPr>
          <w:p w:rsidR="00AB0E5C" w:rsidRPr="001B0EFB" w:rsidRDefault="00AB0E5C" w:rsidP="00B12371">
            <w:pPr>
              <w:spacing w:before="60" w:after="60" w:line="240" w:lineRule="auto"/>
              <w:jc w:val="right"/>
              <w:rPr>
                <w:rFonts w:ascii="Arial" w:hAnsi="Arial" w:cs="Arial"/>
              </w:rPr>
            </w:pPr>
            <w:r>
              <w:rPr>
                <w:rFonts w:ascii="Arial" w:hAnsi="Arial" w:cs="Arial"/>
              </w:rPr>
              <w:t>R239,474.61 per month</w:t>
            </w:r>
          </w:p>
        </w:tc>
        <w:tc>
          <w:tcPr>
            <w:tcW w:w="2772" w:type="dxa"/>
            <w:vAlign w:val="center"/>
          </w:tcPr>
          <w:p w:rsidR="00AB0E5C" w:rsidRDefault="00AB0E5C" w:rsidP="00B12371">
            <w:pPr>
              <w:spacing w:before="60" w:after="60" w:line="240" w:lineRule="auto"/>
              <w:jc w:val="right"/>
              <w:rPr>
                <w:rFonts w:ascii="Arial" w:hAnsi="Arial" w:cs="Arial"/>
              </w:rPr>
            </w:pPr>
            <w:r>
              <w:rPr>
                <w:rFonts w:ascii="Arial" w:hAnsi="Arial" w:cs="Arial"/>
              </w:rPr>
              <w:t>R838,161.15</w:t>
            </w:r>
          </w:p>
        </w:tc>
      </w:tr>
      <w:tr w:rsidR="00AB0E5C" w:rsidRPr="001B0EFB" w:rsidTr="00B12371">
        <w:trPr>
          <w:trHeight w:val="169"/>
        </w:trPr>
        <w:tc>
          <w:tcPr>
            <w:tcW w:w="3804" w:type="dxa"/>
            <w:shd w:val="clear" w:color="auto" w:fill="auto"/>
            <w:vAlign w:val="center"/>
          </w:tcPr>
          <w:p w:rsidR="00AB0E5C" w:rsidRPr="001B0EFB" w:rsidRDefault="00AB0E5C" w:rsidP="00B12371">
            <w:pPr>
              <w:spacing w:before="60" w:after="60" w:line="240" w:lineRule="auto"/>
              <w:ind w:left="317" w:hanging="317"/>
              <w:rPr>
                <w:rFonts w:ascii="Arial" w:hAnsi="Arial" w:cs="Arial"/>
              </w:rPr>
            </w:pPr>
            <w:r w:rsidRPr="001B0EFB">
              <w:rPr>
                <w:rFonts w:ascii="Arial" w:hAnsi="Arial" w:cs="Arial"/>
              </w:rPr>
              <w:t xml:space="preserve">(b) </w:t>
            </w:r>
            <w:r w:rsidR="00B12371">
              <w:rPr>
                <w:rFonts w:ascii="Arial" w:hAnsi="Arial" w:cs="Arial"/>
              </w:rPr>
              <w:t xml:space="preserve">Eagle Eye Security Services and </w:t>
            </w:r>
            <w:r w:rsidRPr="001B0EFB">
              <w:rPr>
                <w:rFonts w:ascii="Arial" w:hAnsi="Arial" w:cs="Arial"/>
              </w:rPr>
              <w:t>Guarding</w:t>
            </w:r>
            <w:r>
              <w:rPr>
                <w:rFonts w:ascii="Arial" w:hAnsi="Arial" w:cs="Arial"/>
              </w:rPr>
              <w:t xml:space="preserve"> (monthly)</w:t>
            </w:r>
          </w:p>
        </w:tc>
        <w:tc>
          <w:tcPr>
            <w:tcW w:w="2808" w:type="dxa"/>
            <w:shd w:val="clear" w:color="auto" w:fill="auto"/>
            <w:vAlign w:val="center"/>
          </w:tcPr>
          <w:p w:rsidR="00AB0E5C" w:rsidRPr="001B0EFB" w:rsidRDefault="00AB0E5C" w:rsidP="00B12371">
            <w:pPr>
              <w:spacing w:before="60" w:after="60" w:line="240" w:lineRule="auto"/>
              <w:jc w:val="right"/>
              <w:rPr>
                <w:rFonts w:ascii="Arial" w:hAnsi="Arial" w:cs="Arial"/>
              </w:rPr>
            </w:pPr>
            <w:r w:rsidRPr="001B0EFB">
              <w:rPr>
                <w:rFonts w:ascii="Arial" w:hAnsi="Arial" w:cs="Arial"/>
              </w:rPr>
              <w:t>R622 634.60</w:t>
            </w:r>
            <w:r>
              <w:rPr>
                <w:rFonts w:ascii="Arial" w:hAnsi="Arial" w:cs="Arial"/>
              </w:rPr>
              <w:t xml:space="preserve"> per month</w:t>
            </w:r>
          </w:p>
        </w:tc>
        <w:tc>
          <w:tcPr>
            <w:tcW w:w="2772" w:type="dxa"/>
            <w:vAlign w:val="center"/>
          </w:tcPr>
          <w:p w:rsidR="00AB0E5C" w:rsidRPr="001B0EFB" w:rsidRDefault="00AB0E5C" w:rsidP="00B12371">
            <w:pPr>
              <w:spacing w:before="60" w:after="60" w:line="240" w:lineRule="auto"/>
              <w:jc w:val="right"/>
              <w:rPr>
                <w:rFonts w:ascii="Arial" w:hAnsi="Arial" w:cs="Arial"/>
              </w:rPr>
            </w:pPr>
            <w:r>
              <w:rPr>
                <w:rFonts w:ascii="Arial" w:hAnsi="Arial" w:cs="Arial"/>
              </w:rPr>
              <w:t>R5,603,711.40</w:t>
            </w:r>
          </w:p>
        </w:tc>
      </w:tr>
      <w:tr w:rsidR="00B12371" w:rsidRPr="001B0EFB" w:rsidTr="00B12371">
        <w:trPr>
          <w:trHeight w:val="169"/>
        </w:trPr>
        <w:tc>
          <w:tcPr>
            <w:tcW w:w="6612" w:type="dxa"/>
            <w:gridSpan w:val="2"/>
            <w:shd w:val="clear" w:color="auto" w:fill="auto"/>
            <w:vAlign w:val="center"/>
          </w:tcPr>
          <w:p w:rsidR="00B12371" w:rsidRPr="00AB0E5C" w:rsidRDefault="00B12371" w:rsidP="00B12371">
            <w:pPr>
              <w:spacing w:before="60" w:after="60" w:line="240" w:lineRule="auto"/>
              <w:jc w:val="center"/>
              <w:rPr>
                <w:rFonts w:ascii="Arial" w:hAnsi="Arial" w:cs="Arial"/>
                <w:b/>
              </w:rPr>
            </w:pPr>
            <w:r w:rsidRPr="00AB0E5C">
              <w:rPr>
                <w:rFonts w:ascii="Arial" w:hAnsi="Arial" w:cs="Arial"/>
                <w:b/>
              </w:rPr>
              <w:t>Total</w:t>
            </w:r>
            <w:r>
              <w:rPr>
                <w:rFonts w:ascii="Arial" w:hAnsi="Arial" w:cs="Arial"/>
                <w:b/>
              </w:rPr>
              <w:t xml:space="preserve"> (9 Months)</w:t>
            </w:r>
          </w:p>
        </w:tc>
        <w:tc>
          <w:tcPr>
            <w:tcW w:w="2772" w:type="dxa"/>
            <w:vAlign w:val="center"/>
          </w:tcPr>
          <w:p w:rsidR="00B12371" w:rsidRPr="00AB0E5C" w:rsidRDefault="00B12371" w:rsidP="00B12371">
            <w:pPr>
              <w:spacing w:before="60" w:after="60" w:line="240" w:lineRule="auto"/>
              <w:jc w:val="right"/>
              <w:rPr>
                <w:rFonts w:ascii="Arial" w:hAnsi="Arial" w:cs="Arial"/>
                <w:b/>
              </w:rPr>
            </w:pPr>
            <w:r w:rsidRPr="00AB0E5C">
              <w:rPr>
                <w:rFonts w:ascii="Arial" w:hAnsi="Arial" w:cs="Arial"/>
                <w:b/>
              </w:rPr>
              <w:t>R6,850,625.55</w:t>
            </w:r>
          </w:p>
        </w:tc>
      </w:tr>
    </w:tbl>
    <w:p w:rsidR="00E103E5" w:rsidRDefault="00E103E5" w:rsidP="00C5785E">
      <w:pPr>
        <w:spacing w:after="0" w:line="360" w:lineRule="auto"/>
        <w:rPr>
          <w:rFonts w:ascii="Arial" w:hAnsi="Arial" w:cs="Arial"/>
        </w:rPr>
      </w:pPr>
    </w:p>
    <w:p w:rsidR="00991268" w:rsidRPr="00C1505F" w:rsidRDefault="003E4744" w:rsidP="003E4744">
      <w:pPr>
        <w:pStyle w:val="p0"/>
        <w:spacing w:before="120" w:after="120" w:line="360" w:lineRule="auto"/>
        <w:ind w:left="360"/>
        <w:jc w:val="both"/>
        <w:rPr>
          <w:rFonts w:ascii="Arial" w:hAnsi="Arial" w:cs="Arial"/>
          <w:sz w:val="22"/>
          <w:szCs w:val="22"/>
        </w:rPr>
      </w:pPr>
      <w:r>
        <w:rPr>
          <w:rFonts w:ascii="Arial" w:hAnsi="Arial" w:cs="Arial"/>
          <w:sz w:val="22"/>
          <w:szCs w:val="22"/>
        </w:rPr>
        <w:t xml:space="preserve">(b) </w:t>
      </w:r>
      <w:r w:rsidR="00C1505F" w:rsidRPr="00C1505F">
        <w:rPr>
          <w:rFonts w:ascii="Arial" w:hAnsi="Arial" w:cs="Arial"/>
          <w:sz w:val="22"/>
          <w:szCs w:val="22"/>
        </w:rPr>
        <w:t>The table below provides details of each external firm:</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5"/>
        <w:gridCol w:w="1843"/>
        <w:gridCol w:w="1985"/>
        <w:gridCol w:w="1984"/>
      </w:tblGrid>
      <w:tr w:rsidR="003E4744" w:rsidRPr="001B0EFB" w:rsidTr="001B0EFB">
        <w:tc>
          <w:tcPr>
            <w:tcW w:w="2268" w:type="dxa"/>
            <w:shd w:val="clear" w:color="auto" w:fill="auto"/>
            <w:vAlign w:val="center"/>
          </w:tcPr>
          <w:p w:rsidR="00C1505F" w:rsidRPr="001B0EFB" w:rsidRDefault="00C1505F" w:rsidP="00B12371">
            <w:pPr>
              <w:spacing w:before="60" w:after="60" w:line="240" w:lineRule="auto"/>
              <w:jc w:val="center"/>
              <w:rPr>
                <w:rFonts w:ascii="Arial" w:hAnsi="Arial" w:cs="Arial"/>
                <w:b/>
              </w:rPr>
            </w:pPr>
            <w:r w:rsidRPr="001B0EFB">
              <w:rPr>
                <w:rFonts w:ascii="Arial" w:hAnsi="Arial" w:cs="Arial"/>
                <w:b/>
              </w:rPr>
              <w:t>Name of the Firm</w:t>
            </w:r>
          </w:p>
        </w:tc>
        <w:tc>
          <w:tcPr>
            <w:tcW w:w="1275" w:type="dxa"/>
            <w:shd w:val="clear" w:color="auto" w:fill="auto"/>
            <w:vAlign w:val="center"/>
          </w:tcPr>
          <w:p w:rsidR="00C1505F" w:rsidRPr="001B0EFB" w:rsidRDefault="00C1505F" w:rsidP="00B12371">
            <w:pPr>
              <w:spacing w:before="60" w:after="60" w:line="240" w:lineRule="auto"/>
              <w:jc w:val="center"/>
              <w:rPr>
                <w:rFonts w:ascii="Arial" w:hAnsi="Arial" w:cs="Arial"/>
                <w:b/>
              </w:rPr>
            </w:pPr>
            <w:r w:rsidRPr="001B0EFB">
              <w:rPr>
                <w:rFonts w:ascii="Arial" w:hAnsi="Arial" w:cs="Arial"/>
                <w:b/>
              </w:rPr>
              <w:t>Number of Guards</w:t>
            </w:r>
          </w:p>
        </w:tc>
        <w:tc>
          <w:tcPr>
            <w:tcW w:w="1843" w:type="dxa"/>
            <w:shd w:val="clear" w:color="auto" w:fill="auto"/>
            <w:vAlign w:val="center"/>
          </w:tcPr>
          <w:p w:rsidR="00C1505F" w:rsidRPr="001B0EFB" w:rsidRDefault="00C1505F" w:rsidP="00B12371">
            <w:pPr>
              <w:spacing w:before="60" w:after="60" w:line="240" w:lineRule="auto"/>
              <w:jc w:val="center"/>
              <w:rPr>
                <w:rFonts w:ascii="Arial" w:hAnsi="Arial" w:cs="Arial"/>
                <w:b/>
              </w:rPr>
            </w:pPr>
            <w:r w:rsidRPr="001B0EFB">
              <w:rPr>
                <w:rFonts w:ascii="Arial" w:hAnsi="Arial" w:cs="Arial"/>
                <w:b/>
              </w:rPr>
              <w:t>Grades</w:t>
            </w:r>
          </w:p>
        </w:tc>
        <w:tc>
          <w:tcPr>
            <w:tcW w:w="1985" w:type="dxa"/>
            <w:shd w:val="clear" w:color="auto" w:fill="auto"/>
            <w:vAlign w:val="center"/>
          </w:tcPr>
          <w:p w:rsidR="00C1505F" w:rsidRPr="001B0EFB" w:rsidRDefault="00C1505F" w:rsidP="00B12371">
            <w:pPr>
              <w:spacing w:before="60" w:after="60" w:line="240" w:lineRule="auto"/>
              <w:jc w:val="center"/>
              <w:rPr>
                <w:rFonts w:ascii="Arial" w:hAnsi="Arial" w:cs="Arial"/>
                <w:b/>
              </w:rPr>
            </w:pPr>
            <w:r w:rsidRPr="001B0EFB">
              <w:rPr>
                <w:rFonts w:ascii="Arial" w:hAnsi="Arial" w:cs="Arial"/>
                <w:b/>
              </w:rPr>
              <w:t>Commencement Date</w:t>
            </w:r>
          </w:p>
        </w:tc>
        <w:tc>
          <w:tcPr>
            <w:tcW w:w="1984" w:type="dxa"/>
            <w:shd w:val="clear" w:color="auto" w:fill="auto"/>
            <w:vAlign w:val="center"/>
          </w:tcPr>
          <w:p w:rsidR="00C1505F" w:rsidRPr="001B0EFB" w:rsidRDefault="00C1505F" w:rsidP="00B12371">
            <w:pPr>
              <w:spacing w:before="60" w:after="60" w:line="240" w:lineRule="auto"/>
              <w:jc w:val="center"/>
              <w:rPr>
                <w:rFonts w:ascii="Arial" w:hAnsi="Arial" w:cs="Arial"/>
                <w:b/>
              </w:rPr>
            </w:pPr>
            <w:r w:rsidRPr="001B0EFB">
              <w:rPr>
                <w:rFonts w:ascii="Arial" w:hAnsi="Arial" w:cs="Arial"/>
                <w:b/>
              </w:rPr>
              <w:t>Termination Date</w:t>
            </w:r>
          </w:p>
        </w:tc>
      </w:tr>
      <w:tr w:rsidR="003E4744" w:rsidRPr="001B0EFB" w:rsidTr="00B12371">
        <w:tc>
          <w:tcPr>
            <w:tcW w:w="2268" w:type="dxa"/>
            <w:shd w:val="clear" w:color="auto" w:fill="auto"/>
            <w:vAlign w:val="center"/>
          </w:tcPr>
          <w:p w:rsidR="00C1505F" w:rsidRPr="001B0EFB" w:rsidRDefault="00C1505F" w:rsidP="00B12371">
            <w:pPr>
              <w:spacing w:before="60" w:after="60" w:line="240" w:lineRule="auto"/>
              <w:rPr>
                <w:rFonts w:ascii="Arial" w:hAnsi="Arial" w:cs="Arial"/>
              </w:rPr>
            </w:pPr>
            <w:r w:rsidRPr="001B0EFB">
              <w:rPr>
                <w:rFonts w:ascii="Arial" w:hAnsi="Arial" w:cs="Arial"/>
              </w:rPr>
              <w:t>Metro Security Services</w:t>
            </w:r>
          </w:p>
        </w:tc>
        <w:tc>
          <w:tcPr>
            <w:tcW w:w="1275" w:type="dxa"/>
            <w:shd w:val="clear" w:color="auto" w:fill="auto"/>
            <w:vAlign w:val="center"/>
          </w:tcPr>
          <w:p w:rsidR="00C1505F" w:rsidRPr="001B0EFB" w:rsidRDefault="00C1505F" w:rsidP="00B12371">
            <w:pPr>
              <w:spacing w:before="60" w:after="60" w:line="240" w:lineRule="auto"/>
              <w:jc w:val="center"/>
              <w:rPr>
                <w:rFonts w:ascii="Arial" w:hAnsi="Arial" w:cs="Arial"/>
              </w:rPr>
            </w:pPr>
            <w:r w:rsidRPr="001B0EFB">
              <w:rPr>
                <w:rFonts w:ascii="Arial" w:hAnsi="Arial" w:cs="Arial"/>
              </w:rPr>
              <w:t>20</w:t>
            </w:r>
          </w:p>
        </w:tc>
        <w:tc>
          <w:tcPr>
            <w:tcW w:w="1843" w:type="dxa"/>
            <w:shd w:val="clear" w:color="auto" w:fill="auto"/>
            <w:vAlign w:val="center"/>
          </w:tcPr>
          <w:p w:rsidR="00C1505F" w:rsidRPr="001B0EFB" w:rsidRDefault="00C1505F" w:rsidP="00B12371">
            <w:pPr>
              <w:spacing w:before="60" w:after="60" w:line="240" w:lineRule="auto"/>
              <w:rPr>
                <w:rFonts w:ascii="Arial" w:hAnsi="Arial" w:cs="Arial"/>
              </w:rPr>
            </w:pPr>
            <w:r w:rsidRPr="001B0EFB">
              <w:rPr>
                <w:rFonts w:ascii="Arial" w:hAnsi="Arial" w:cs="Arial"/>
              </w:rPr>
              <w:t>A, B, C and D</w:t>
            </w:r>
          </w:p>
        </w:tc>
        <w:tc>
          <w:tcPr>
            <w:tcW w:w="1985" w:type="dxa"/>
            <w:shd w:val="clear" w:color="auto" w:fill="auto"/>
            <w:vAlign w:val="center"/>
          </w:tcPr>
          <w:p w:rsidR="00C1505F" w:rsidRPr="001B0EFB" w:rsidRDefault="003E4744" w:rsidP="00B12371">
            <w:pPr>
              <w:spacing w:before="60" w:after="60" w:line="240" w:lineRule="auto"/>
              <w:rPr>
                <w:rFonts w:ascii="Arial" w:hAnsi="Arial" w:cs="Arial"/>
              </w:rPr>
            </w:pPr>
            <w:r w:rsidRPr="001B0EFB">
              <w:rPr>
                <w:rFonts w:ascii="Arial" w:hAnsi="Arial" w:cs="Arial"/>
              </w:rPr>
              <w:t>26 January 2015</w:t>
            </w:r>
          </w:p>
        </w:tc>
        <w:tc>
          <w:tcPr>
            <w:tcW w:w="1984" w:type="dxa"/>
            <w:shd w:val="clear" w:color="auto" w:fill="auto"/>
            <w:vAlign w:val="center"/>
          </w:tcPr>
          <w:p w:rsidR="00C1505F" w:rsidRPr="001B0EFB" w:rsidRDefault="003E4744" w:rsidP="00B12371">
            <w:pPr>
              <w:spacing w:before="60" w:after="60" w:line="240" w:lineRule="auto"/>
              <w:rPr>
                <w:rFonts w:ascii="Arial" w:hAnsi="Arial" w:cs="Arial"/>
              </w:rPr>
            </w:pPr>
            <w:r w:rsidRPr="001B0EFB">
              <w:rPr>
                <w:rFonts w:ascii="Arial" w:hAnsi="Arial" w:cs="Arial"/>
              </w:rPr>
              <w:t>15 May 2015</w:t>
            </w:r>
          </w:p>
        </w:tc>
      </w:tr>
      <w:tr w:rsidR="003E4744" w:rsidRPr="001B0EFB" w:rsidTr="00B12371">
        <w:tc>
          <w:tcPr>
            <w:tcW w:w="2268" w:type="dxa"/>
            <w:shd w:val="clear" w:color="auto" w:fill="auto"/>
            <w:vAlign w:val="center"/>
          </w:tcPr>
          <w:p w:rsidR="00C1505F" w:rsidRPr="001B0EFB" w:rsidRDefault="00C1505F" w:rsidP="00B12371">
            <w:pPr>
              <w:spacing w:before="60" w:after="60" w:line="240" w:lineRule="auto"/>
              <w:rPr>
                <w:rFonts w:ascii="Arial" w:hAnsi="Arial" w:cs="Arial"/>
              </w:rPr>
            </w:pPr>
            <w:r w:rsidRPr="001B0EFB">
              <w:rPr>
                <w:rFonts w:ascii="Arial" w:hAnsi="Arial" w:cs="Arial"/>
              </w:rPr>
              <w:t>Eagle Eye Security Services and Guarding</w:t>
            </w:r>
          </w:p>
        </w:tc>
        <w:tc>
          <w:tcPr>
            <w:tcW w:w="1275" w:type="dxa"/>
            <w:shd w:val="clear" w:color="auto" w:fill="auto"/>
            <w:vAlign w:val="center"/>
          </w:tcPr>
          <w:p w:rsidR="00C1505F" w:rsidRPr="001B0EFB" w:rsidRDefault="00C1505F" w:rsidP="00B12371">
            <w:pPr>
              <w:spacing w:before="60" w:after="60" w:line="240" w:lineRule="auto"/>
              <w:jc w:val="center"/>
              <w:rPr>
                <w:rFonts w:ascii="Arial" w:hAnsi="Arial" w:cs="Arial"/>
              </w:rPr>
            </w:pPr>
            <w:r w:rsidRPr="001B0EFB">
              <w:rPr>
                <w:rFonts w:ascii="Arial" w:hAnsi="Arial" w:cs="Arial"/>
              </w:rPr>
              <w:t>52</w:t>
            </w:r>
          </w:p>
        </w:tc>
        <w:tc>
          <w:tcPr>
            <w:tcW w:w="1843" w:type="dxa"/>
            <w:shd w:val="clear" w:color="auto" w:fill="auto"/>
            <w:vAlign w:val="center"/>
          </w:tcPr>
          <w:p w:rsidR="00C1505F" w:rsidRPr="001B0EFB" w:rsidRDefault="00C1505F" w:rsidP="00B12371">
            <w:pPr>
              <w:spacing w:before="60" w:after="60" w:line="240" w:lineRule="auto"/>
              <w:rPr>
                <w:rFonts w:ascii="Arial" w:hAnsi="Arial" w:cs="Arial"/>
              </w:rPr>
            </w:pPr>
            <w:r w:rsidRPr="001B0EFB">
              <w:rPr>
                <w:rFonts w:ascii="Arial" w:hAnsi="Arial" w:cs="Arial"/>
              </w:rPr>
              <w:t>A, B, C, D and E</w:t>
            </w:r>
          </w:p>
        </w:tc>
        <w:tc>
          <w:tcPr>
            <w:tcW w:w="1985" w:type="dxa"/>
            <w:shd w:val="clear" w:color="auto" w:fill="auto"/>
            <w:vAlign w:val="center"/>
          </w:tcPr>
          <w:p w:rsidR="00C1505F" w:rsidRPr="001B0EFB" w:rsidRDefault="003E4744" w:rsidP="00B12371">
            <w:pPr>
              <w:spacing w:before="60" w:after="60" w:line="240" w:lineRule="auto"/>
              <w:rPr>
                <w:rFonts w:ascii="Arial" w:hAnsi="Arial" w:cs="Arial"/>
              </w:rPr>
            </w:pPr>
            <w:r w:rsidRPr="001B0EFB">
              <w:rPr>
                <w:rFonts w:ascii="Arial" w:hAnsi="Arial" w:cs="Arial"/>
              </w:rPr>
              <w:t>1 March 2014</w:t>
            </w:r>
          </w:p>
        </w:tc>
        <w:tc>
          <w:tcPr>
            <w:tcW w:w="1984" w:type="dxa"/>
            <w:shd w:val="clear" w:color="auto" w:fill="auto"/>
            <w:vAlign w:val="center"/>
          </w:tcPr>
          <w:p w:rsidR="00C1505F" w:rsidRPr="001B0EFB" w:rsidRDefault="003E4744" w:rsidP="00B12371">
            <w:pPr>
              <w:spacing w:before="60" w:after="60" w:line="240" w:lineRule="auto"/>
              <w:rPr>
                <w:rFonts w:ascii="Arial" w:hAnsi="Arial" w:cs="Arial"/>
              </w:rPr>
            </w:pPr>
            <w:r w:rsidRPr="001B0EFB">
              <w:rPr>
                <w:rFonts w:ascii="Arial" w:hAnsi="Arial" w:cs="Arial"/>
              </w:rPr>
              <w:t>28 February 2017</w:t>
            </w:r>
          </w:p>
        </w:tc>
      </w:tr>
    </w:tbl>
    <w:p w:rsidR="003E4744" w:rsidRDefault="003E4744" w:rsidP="003E4744">
      <w:pPr>
        <w:spacing w:after="0" w:line="360" w:lineRule="auto"/>
        <w:ind w:left="360"/>
        <w:rPr>
          <w:rFonts w:ascii="Arial" w:hAnsi="Arial" w:cs="Arial"/>
        </w:rPr>
      </w:pPr>
    </w:p>
    <w:p w:rsidR="003E4744" w:rsidRDefault="003E4744" w:rsidP="003E4744">
      <w:pPr>
        <w:spacing w:after="0" w:line="360" w:lineRule="auto"/>
        <w:ind w:left="360"/>
        <w:rPr>
          <w:rFonts w:ascii="Arial" w:hAnsi="Arial" w:cs="Arial"/>
        </w:rPr>
      </w:pPr>
      <w:r w:rsidRPr="003E4744">
        <w:rPr>
          <w:rFonts w:ascii="Arial" w:hAnsi="Arial" w:cs="Arial"/>
          <w:b/>
        </w:rPr>
        <w:t>NB:</w:t>
      </w:r>
      <w:r>
        <w:rPr>
          <w:rFonts w:ascii="Arial" w:hAnsi="Arial" w:cs="Arial"/>
        </w:rPr>
        <w:t xml:space="preserve"> It should be noted that Metro Security Services was only appointed to </w:t>
      </w:r>
      <w:r w:rsidR="00B12371">
        <w:rPr>
          <w:rFonts w:ascii="Arial" w:hAnsi="Arial" w:cs="Arial"/>
        </w:rPr>
        <w:t xml:space="preserve">bolster </w:t>
      </w:r>
      <w:r>
        <w:rPr>
          <w:rFonts w:ascii="Arial" w:hAnsi="Arial" w:cs="Arial"/>
        </w:rPr>
        <w:t xml:space="preserve">security at </w:t>
      </w:r>
    </w:p>
    <w:p w:rsidR="003E4744" w:rsidRDefault="003E4744" w:rsidP="00682622">
      <w:pPr>
        <w:spacing w:after="0" w:line="360" w:lineRule="auto"/>
        <w:ind w:firstLine="720"/>
        <w:rPr>
          <w:rFonts w:ascii="Arial" w:hAnsi="Arial" w:cs="Arial"/>
        </w:rPr>
      </w:pPr>
      <w:r>
        <w:rPr>
          <w:rFonts w:ascii="Arial" w:hAnsi="Arial" w:cs="Arial"/>
        </w:rPr>
        <w:t xml:space="preserve"> </w:t>
      </w:r>
      <w:r w:rsidR="00682622">
        <w:rPr>
          <w:rFonts w:ascii="Arial" w:hAnsi="Arial" w:cs="Arial"/>
        </w:rPr>
        <w:t>E</w:t>
      </w:r>
      <w:r>
        <w:rPr>
          <w:rFonts w:ascii="Arial" w:hAnsi="Arial" w:cs="Arial"/>
        </w:rPr>
        <w:t>MC during the unrest</w:t>
      </w:r>
      <w:r w:rsidR="00682622">
        <w:rPr>
          <w:rFonts w:ascii="Arial" w:hAnsi="Arial" w:cs="Arial"/>
        </w:rPr>
        <w:t>.</w:t>
      </w:r>
      <w:r>
        <w:rPr>
          <w:rFonts w:ascii="Arial" w:hAnsi="Arial" w:cs="Arial"/>
        </w:rPr>
        <w:tab/>
      </w:r>
    </w:p>
    <w:p w:rsidR="00F50CC6" w:rsidRDefault="00F50CC6" w:rsidP="00B12371">
      <w:pPr>
        <w:pStyle w:val="p0"/>
        <w:numPr>
          <w:ilvl w:val="0"/>
          <w:numId w:val="49"/>
        </w:numPr>
        <w:tabs>
          <w:tab w:val="left" w:pos="709"/>
        </w:tabs>
        <w:spacing w:before="120" w:after="120" w:line="360" w:lineRule="auto"/>
        <w:ind w:left="1134" w:hanging="85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DA64CF" w:rsidRPr="003E4744">
        <w:rPr>
          <w:rFonts w:ascii="Arial" w:hAnsi="Arial" w:cs="Arial"/>
          <w:sz w:val="22"/>
          <w:szCs w:val="22"/>
        </w:rPr>
        <w:t>The current operating budget deficit for 2015 is R</w:t>
      </w:r>
      <w:r w:rsidR="00B12371">
        <w:rPr>
          <w:rFonts w:ascii="Arial" w:hAnsi="Arial" w:cs="Arial"/>
          <w:sz w:val="22"/>
          <w:szCs w:val="22"/>
        </w:rPr>
        <w:t xml:space="preserve">9.9 </w:t>
      </w:r>
      <w:r w:rsidR="00DA64CF" w:rsidRPr="003E4744">
        <w:rPr>
          <w:rFonts w:ascii="Arial" w:hAnsi="Arial" w:cs="Arial"/>
          <w:sz w:val="22"/>
          <w:szCs w:val="22"/>
        </w:rPr>
        <w:t>million</w:t>
      </w:r>
      <w:r w:rsidR="00B12371">
        <w:rPr>
          <w:rFonts w:ascii="Arial" w:hAnsi="Arial" w:cs="Arial"/>
          <w:sz w:val="22"/>
          <w:szCs w:val="22"/>
        </w:rPr>
        <w:t xml:space="preserve"> which ex</w:t>
      </w:r>
      <w:r>
        <w:rPr>
          <w:rFonts w:ascii="Arial" w:hAnsi="Arial" w:cs="Arial"/>
          <w:sz w:val="22"/>
          <w:szCs w:val="22"/>
        </w:rPr>
        <w:t xml:space="preserve">cludes non-cash items totalling R14.5 million </w:t>
      </w:r>
      <w:r w:rsidR="00B12371">
        <w:rPr>
          <w:rFonts w:ascii="Arial" w:hAnsi="Arial" w:cs="Arial"/>
          <w:sz w:val="22"/>
          <w:szCs w:val="22"/>
        </w:rPr>
        <w:t>for depreciation and bad debts.</w:t>
      </w:r>
      <w:r>
        <w:rPr>
          <w:rFonts w:ascii="Arial" w:hAnsi="Arial" w:cs="Arial"/>
          <w:sz w:val="22"/>
          <w:szCs w:val="22"/>
        </w:rPr>
        <w:t xml:space="preserve"> </w:t>
      </w:r>
    </w:p>
    <w:p w:rsidR="003C1AB1" w:rsidRDefault="00F50CC6" w:rsidP="00B12371">
      <w:pPr>
        <w:pStyle w:val="p0"/>
        <w:numPr>
          <w:ilvl w:val="0"/>
          <w:numId w:val="50"/>
        </w:numPr>
        <w:tabs>
          <w:tab w:val="left" w:pos="709"/>
        </w:tabs>
        <w:spacing w:before="120" w:after="120" w:line="360" w:lineRule="auto"/>
        <w:ind w:left="1134" w:hanging="425"/>
        <w:jc w:val="both"/>
        <w:rPr>
          <w:rFonts w:ascii="Arial" w:hAnsi="Arial" w:cs="Arial"/>
          <w:sz w:val="22"/>
          <w:szCs w:val="22"/>
        </w:rPr>
      </w:pPr>
      <w:r>
        <w:rPr>
          <w:rFonts w:ascii="Arial" w:hAnsi="Arial" w:cs="Arial"/>
          <w:sz w:val="22"/>
          <w:szCs w:val="22"/>
        </w:rPr>
        <w:t>Th</w:t>
      </w:r>
      <w:r w:rsidR="00B12371">
        <w:rPr>
          <w:rFonts w:ascii="Arial" w:hAnsi="Arial" w:cs="Arial"/>
          <w:sz w:val="22"/>
          <w:szCs w:val="22"/>
        </w:rPr>
        <w:t>e budget</w:t>
      </w:r>
      <w:r>
        <w:rPr>
          <w:rFonts w:ascii="Arial" w:hAnsi="Arial" w:cs="Arial"/>
          <w:sz w:val="22"/>
          <w:szCs w:val="22"/>
        </w:rPr>
        <w:t xml:space="preserve"> deficit is predominantly attributable to extraordinary items not budgeted for such as strike related costs </w:t>
      </w:r>
      <w:r w:rsidR="00B12371">
        <w:rPr>
          <w:rFonts w:ascii="Arial" w:hAnsi="Arial" w:cs="Arial"/>
          <w:sz w:val="22"/>
          <w:szCs w:val="22"/>
        </w:rPr>
        <w:t xml:space="preserve">in terms of </w:t>
      </w:r>
      <w:r w:rsidRPr="00F50CC6">
        <w:rPr>
          <w:rFonts w:ascii="Arial" w:hAnsi="Arial" w:cs="Arial"/>
          <w:sz w:val="22"/>
          <w:szCs w:val="22"/>
        </w:rPr>
        <w:t>security, repair</w:t>
      </w:r>
      <w:r w:rsidR="00B12371">
        <w:rPr>
          <w:rFonts w:ascii="Arial" w:hAnsi="Arial" w:cs="Arial"/>
          <w:sz w:val="22"/>
          <w:szCs w:val="22"/>
        </w:rPr>
        <w:t>s to property, legal fees, etc.</w:t>
      </w:r>
    </w:p>
    <w:p w:rsidR="00F05CA9" w:rsidRPr="00F50CC6" w:rsidRDefault="00F05CA9" w:rsidP="00F05CA9">
      <w:pPr>
        <w:pStyle w:val="p0"/>
        <w:tabs>
          <w:tab w:val="left" w:pos="709"/>
        </w:tabs>
        <w:spacing w:before="120" w:after="120" w:line="360" w:lineRule="auto"/>
        <w:ind w:left="1134"/>
        <w:jc w:val="both"/>
        <w:rPr>
          <w:rFonts w:ascii="Arial" w:hAnsi="Arial" w:cs="Arial"/>
          <w:sz w:val="22"/>
          <w:szCs w:val="22"/>
        </w:rPr>
      </w:pPr>
    </w:p>
    <w:p w:rsidR="003E4744" w:rsidRDefault="00574727" w:rsidP="00F05CA9">
      <w:pPr>
        <w:pStyle w:val="p0"/>
        <w:tabs>
          <w:tab w:val="left" w:pos="709"/>
        </w:tabs>
        <w:spacing w:before="120" w:after="120" w:line="360" w:lineRule="auto"/>
        <w:ind w:left="1134" w:hanging="425"/>
        <w:jc w:val="both"/>
        <w:rPr>
          <w:rFonts w:ascii="Arial" w:hAnsi="Arial" w:cs="Arial"/>
          <w:sz w:val="22"/>
          <w:szCs w:val="22"/>
        </w:rPr>
      </w:pPr>
      <w:r>
        <w:rPr>
          <w:rFonts w:ascii="Arial" w:hAnsi="Arial" w:cs="Arial"/>
        </w:rPr>
        <w:lastRenderedPageBreak/>
        <w:t>(</w:t>
      </w:r>
      <w:r w:rsidRPr="003E4744">
        <w:rPr>
          <w:rFonts w:ascii="Arial" w:hAnsi="Arial" w:cs="Arial"/>
          <w:sz w:val="22"/>
          <w:szCs w:val="22"/>
        </w:rPr>
        <w:t xml:space="preserve">c) </w:t>
      </w:r>
      <w:r w:rsidR="00B12371">
        <w:rPr>
          <w:rFonts w:ascii="Arial" w:hAnsi="Arial" w:cs="Arial"/>
          <w:sz w:val="22"/>
          <w:szCs w:val="22"/>
        </w:rPr>
        <w:t xml:space="preserve"> </w:t>
      </w:r>
      <w:r w:rsidR="00B12371">
        <w:rPr>
          <w:rFonts w:ascii="Arial" w:hAnsi="Arial" w:cs="Arial"/>
          <w:sz w:val="22"/>
          <w:szCs w:val="22"/>
        </w:rPr>
        <w:tab/>
      </w:r>
      <w:r w:rsidRPr="003E4744">
        <w:rPr>
          <w:rFonts w:ascii="Arial" w:hAnsi="Arial" w:cs="Arial"/>
          <w:sz w:val="22"/>
          <w:szCs w:val="22"/>
        </w:rPr>
        <w:t xml:space="preserve">Following the conclusion of the employees’ industrial action and restoration of normal operations, a </w:t>
      </w:r>
      <w:r w:rsidR="00F05CA9">
        <w:rPr>
          <w:rFonts w:ascii="Arial" w:hAnsi="Arial" w:cs="Arial"/>
          <w:sz w:val="22"/>
          <w:szCs w:val="22"/>
        </w:rPr>
        <w:t xml:space="preserve">budget </w:t>
      </w:r>
      <w:r w:rsidRPr="003E4744">
        <w:rPr>
          <w:rFonts w:ascii="Arial" w:hAnsi="Arial" w:cs="Arial"/>
          <w:sz w:val="22"/>
          <w:szCs w:val="22"/>
        </w:rPr>
        <w:t xml:space="preserve">review </w:t>
      </w:r>
      <w:r w:rsidR="00F05CA9">
        <w:rPr>
          <w:rFonts w:ascii="Arial" w:hAnsi="Arial" w:cs="Arial"/>
          <w:sz w:val="22"/>
          <w:szCs w:val="22"/>
        </w:rPr>
        <w:t xml:space="preserve">will be undertaken. </w:t>
      </w:r>
      <w:r w:rsidR="003E4744">
        <w:rPr>
          <w:rFonts w:ascii="Arial" w:hAnsi="Arial" w:cs="Arial"/>
          <w:sz w:val="22"/>
          <w:szCs w:val="22"/>
        </w:rPr>
        <w:t>Whilst there were exceptional</w:t>
      </w:r>
      <w:r w:rsidRPr="003E4744">
        <w:rPr>
          <w:rFonts w:ascii="Arial" w:hAnsi="Arial" w:cs="Arial"/>
          <w:sz w:val="22"/>
          <w:szCs w:val="22"/>
        </w:rPr>
        <w:t xml:space="preserve"> strike related </w:t>
      </w:r>
      <w:r w:rsidR="00682622">
        <w:rPr>
          <w:rFonts w:ascii="Arial" w:hAnsi="Arial" w:cs="Arial"/>
          <w:sz w:val="22"/>
          <w:szCs w:val="22"/>
        </w:rPr>
        <w:t>costs, there were also savings o</w:t>
      </w:r>
      <w:r w:rsidRPr="003E4744">
        <w:rPr>
          <w:rFonts w:ascii="Arial" w:hAnsi="Arial" w:cs="Arial"/>
          <w:sz w:val="22"/>
          <w:szCs w:val="22"/>
        </w:rPr>
        <w:t xml:space="preserve">n certain expenditure </w:t>
      </w:r>
      <w:r w:rsidR="00F05CA9">
        <w:rPr>
          <w:rFonts w:ascii="Arial" w:hAnsi="Arial" w:cs="Arial"/>
          <w:sz w:val="22"/>
          <w:szCs w:val="22"/>
        </w:rPr>
        <w:t xml:space="preserve">items </w:t>
      </w:r>
      <w:r w:rsidRPr="003E4744">
        <w:rPr>
          <w:rFonts w:ascii="Arial" w:hAnsi="Arial" w:cs="Arial"/>
          <w:sz w:val="22"/>
          <w:szCs w:val="22"/>
        </w:rPr>
        <w:t xml:space="preserve">that will mitigate the deficit. A revised budget, including virements will be presented to the College Council before the end of the financial year.  </w:t>
      </w:r>
    </w:p>
    <w:p w:rsidR="003C1AB1" w:rsidRPr="00483674" w:rsidRDefault="00F05CA9" w:rsidP="00F05CA9">
      <w:pPr>
        <w:pStyle w:val="p0"/>
        <w:numPr>
          <w:ilvl w:val="0"/>
          <w:numId w:val="49"/>
        </w:numPr>
        <w:spacing w:before="120" w:after="120" w:line="360" w:lineRule="auto"/>
        <w:ind w:left="1134" w:hanging="85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74727" w:rsidRPr="003E4744">
        <w:rPr>
          <w:rFonts w:ascii="Arial" w:hAnsi="Arial" w:cs="Arial"/>
          <w:sz w:val="22"/>
          <w:szCs w:val="22"/>
        </w:rPr>
        <w:t>Funds from the National Student Financial</w:t>
      </w:r>
      <w:r w:rsidR="00682622">
        <w:rPr>
          <w:rFonts w:ascii="Arial" w:hAnsi="Arial" w:cs="Arial"/>
          <w:sz w:val="22"/>
          <w:szCs w:val="22"/>
        </w:rPr>
        <w:t xml:space="preserve"> Aid Scheme have not been utilis</w:t>
      </w:r>
      <w:r w:rsidR="00574727" w:rsidRPr="003E4744">
        <w:rPr>
          <w:rFonts w:ascii="Arial" w:hAnsi="Arial" w:cs="Arial"/>
          <w:sz w:val="22"/>
          <w:szCs w:val="22"/>
        </w:rPr>
        <w:t xml:space="preserve">ed by the </w:t>
      </w:r>
      <w:r w:rsidR="00272434">
        <w:rPr>
          <w:rFonts w:ascii="Arial" w:hAnsi="Arial" w:cs="Arial"/>
          <w:sz w:val="22"/>
          <w:szCs w:val="22"/>
        </w:rPr>
        <w:t>C</w:t>
      </w:r>
      <w:r w:rsidR="00574727" w:rsidRPr="003E4744">
        <w:rPr>
          <w:rFonts w:ascii="Arial" w:hAnsi="Arial" w:cs="Arial"/>
          <w:sz w:val="22"/>
          <w:szCs w:val="22"/>
        </w:rPr>
        <w:t>ollege for any purposes other than</w:t>
      </w:r>
      <w:r w:rsidR="00272434">
        <w:rPr>
          <w:rFonts w:ascii="Arial" w:hAnsi="Arial" w:cs="Arial"/>
          <w:sz w:val="22"/>
          <w:szCs w:val="22"/>
        </w:rPr>
        <w:t xml:space="preserve"> student</w:t>
      </w:r>
      <w:r w:rsidR="00574727" w:rsidRPr="003E4744">
        <w:rPr>
          <w:rFonts w:ascii="Arial" w:hAnsi="Arial" w:cs="Arial"/>
          <w:sz w:val="22"/>
          <w:szCs w:val="22"/>
        </w:rPr>
        <w:t xml:space="preserve"> bursaries.</w:t>
      </w:r>
    </w:p>
    <w:p w:rsidR="003C1AB1" w:rsidRDefault="003C1AB1" w:rsidP="00B12371">
      <w:pPr>
        <w:tabs>
          <w:tab w:val="left" w:pos="709"/>
        </w:tabs>
        <w:spacing w:line="360" w:lineRule="auto"/>
        <w:ind w:hanging="850"/>
        <w:jc w:val="both"/>
        <w:rPr>
          <w:rFonts w:ascii="Arial" w:hAnsi="Arial" w:cs="Arial"/>
        </w:rPr>
      </w:pPr>
    </w:p>
    <w:p w:rsidR="00483674" w:rsidRDefault="00483674"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F05CA9" w:rsidRDefault="00F05CA9"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574727">
        <w:rPr>
          <w:rFonts w:ascii="Arial" w:hAnsi="Arial" w:cs="Arial"/>
        </w:rPr>
        <w:t xml:space="preserve"> </w:t>
      </w:r>
    </w:p>
    <w:p w:rsidR="00574727" w:rsidRPr="00272434" w:rsidRDefault="00272434" w:rsidP="00D947B4">
      <w:pPr>
        <w:spacing w:line="360" w:lineRule="auto"/>
        <w:jc w:val="both"/>
        <w:rPr>
          <w:rFonts w:ascii="Arial" w:hAnsi="Arial" w:cs="Arial"/>
        </w:rPr>
      </w:pPr>
      <w:r>
        <w:rPr>
          <w:rFonts w:ascii="Arial" w:hAnsi="Arial" w:cs="Arial"/>
        </w:rPr>
        <w:t>Contact number</w:t>
      </w:r>
      <w:r w:rsidR="00D947B4" w:rsidRPr="00745AF6">
        <w:rPr>
          <w:rFonts w:ascii="Arial" w:hAnsi="Arial" w:cs="Arial"/>
        </w:rPr>
        <w:t>:</w:t>
      </w:r>
      <w:r w:rsidR="00574727" w:rsidRPr="00272434">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483674" w:rsidRDefault="00483674" w:rsidP="00D947B4">
      <w:pPr>
        <w:spacing w:line="360" w:lineRule="auto"/>
        <w:jc w:val="both"/>
        <w:rPr>
          <w:rFonts w:ascii="Arial" w:hAnsi="Arial" w:cs="Arial"/>
        </w:rPr>
      </w:pPr>
    </w:p>
    <w:p w:rsidR="00483674" w:rsidRDefault="00483674" w:rsidP="00D947B4">
      <w:pPr>
        <w:spacing w:line="360" w:lineRule="auto"/>
        <w:jc w:val="both"/>
        <w:rPr>
          <w:rFonts w:ascii="Arial" w:hAnsi="Arial" w:cs="Arial"/>
        </w:rPr>
      </w:pPr>
    </w:p>
    <w:p w:rsidR="00483674" w:rsidRDefault="00483674" w:rsidP="00D947B4">
      <w:pPr>
        <w:spacing w:line="360" w:lineRule="auto"/>
        <w:jc w:val="both"/>
        <w:rPr>
          <w:rFonts w:ascii="Arial" w:hAnsi="Arial" w:cs="Arial"/>
        </w:rPr>
      </w:pPr>
    </w:p>
    <w:p w:rsidR="00483674" w:rsidRPr="00745AF6" w:rsidRDefault="0048367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7234AD">
        <w:rPr>
          <w:rFonts w:ascii="Arial" w:hAnsi="Arial" w:cs="Arial"/>
        </w:rPr>
        <w:t>4</w:t>
      </w:r>
      <w:r w:rsidR="00A734D6">
        <w:rPr>
          <w:rFonts w:ascii="Arial" w:hAnsi="Arial" w:cs="Arial"/>
        </w:rPr>
        <w:t>92</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682622">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footerReference w:type="default" r:id="rId8"/>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92" w:rsidRDefault="003D2192" w:rsidP="003A1D2F">
      <w:pPr>
        <w:spacing w:after="0" w:line="240" w:lineRule="auto"/>
      </w:pPr>
      <w:r>
        <w:separator/>
      </w:r>
    </w:p>
  </w:endnote>
  <w:endnote w:type="continuationSeparator" w:id="0">
    <w:p w:rsidR="003D2192" w:rsidRDefault="003D2192" w:rsidP="003A1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2F" w:rsidRDefault="003A1D2F">
    <w:pPr>
      <w:pStyle w:val="Footer"/>
      <w:jc w:val="right"/>
    </w:pPr>
    <w:fldSimple w:instr=" PAGE   \* MERGEFORMAT ">
      <w:r w:rsidR="008B75E7">
        <w:rPr>
          <w:noProof/>
        </w:rPr>
        <w:t>2</w:t>
      </w:r>
    </w:fldSimple>
  </w:p>
  <w:p w:rsidR="003A1D2F" w:rsidRDefault="003A1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92" w:rsidRDefault="003D2192" w:rsidP="003A1D2F">
      <w:pPr>
        <w:spacing w:after="0" w:line="240" w:lineRule="auto"/>
      </w:pPr>
      <w:r>
        <w:separator/>
      </w:r>
    </w:p>
  </w:footnote>
  <w:footnote w:type="continuationSeparator" w:id="0">
    <w:p w:rsidR="003D2192" w:rsidRDefault="003D2192" w:rsidP="003A1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97B4D"/>
    <w:multiLevelType w:val="hybridMultilevel"/>
    <w:tmpl w:val="E062D09C"/>
    <w:lvl w:ilvl="0" w:tplc="6F3CB71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3533"/>
    <w:multiLevelType w:val="hybridMultilevel"/>
    <w:tmpl w:val="EC922DB0"/>
    <w:lvl w:ilvl="0" w:tplc="3A74B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C670A9"/>
    <w:multiLevelType w:val="hybridMultilevel"/>
    <w:tmpl w:val="64F48096"/>
    <w:lvl w:ilvl="0" w:tplc="22D25F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7">
    <w:nsid w:val="4DA62606"/>
    <w:multiLevelType w:val="hybridMultilevel"/>
    <w:tmpl w:val="7706AAB0"/>
    <w:lvl w:ilvl="0" w:tplc="5EEAD61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9">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D1B55AE"/>
    <w:multiLevelType w:val="hybridMultilevel"/>
    <w:tmpl w:val="6EDC52A8"/>
    <w:lvl w:ilvl="0" w:tplc="E20C7816">
      <w:start w:val="1"/>
      <w:numFmt w:val="lowerLetter"/>
      <w:lvlText w:val="(%1)"/>
      <w:lvlJc w:val="left"/>
      <w:pPr>
        <w:ind w:left="1174" w:hanging="46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9">
    <w:nsid w:val="7FD55307"/>
    <w:multiLevelType w:val="hybridMultilevel"/>
    <w:tmpl w:val="15C6AAEC"/>
    <w:lvl w:ilvl="0" w:tplc="869A45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39"/>
  </w:num>
  <w:num w:numId="4">
    <w:abstractNumId w:val="8"/>
  </w:num>
  <w:num w:numId="5">
    <w:abstractNumId w:val="42"/>
  </w:num>
  <w:num w:numId="6">
    <w:abstractNumId w:val="31"/>
  </w:num>
  <w:num w:numId="7">
    <w:abstractNumId w:val="41"/>
  </w:num>
  <w:num w:numId="8">
    <w:abstractNumId w:val="5"/>
  </w:num>
  <w:num w:numId="9">
    <w:abstractNumId w:val="37"/>
  </w:num>
  <w:num w:numId="10">
    <w:abstractNumId w:val="26"/>
  </w:num>
  <w:num w:numId="11">
    <w:abstractNumId w:val="40"/>
  </w:num>
  <w:num w:numId="12">
    <w:abstractNumId w:val="14"/>
  </w:num>
  <w:num w:numId="13">
    <w:abstractNumId w:val="46"/>
  </w:num>
  <w:num w:numId="14">
    <w:abstractNumId w:val="19"/>
  </w:num>
  <w:num w:numId="15">
    <w:abstractNumId w:val="6"/>
  </w:num>
  <w:num w:numId="16">
    <w:abstractNumId w:val="32"/>
  </w:num>
  <w:num w:numId="17">
    <w:abstractNumId w:val="15"/>
  </w:num>
  <w:num w:numId="18">
    <w:abstractNumId w:val="35"/>
  </w:num>
  <w:num w:numId="19">
    <w:abstractNumId w:val="33"/>
  </w:num>
  <w:num w:numId="20">
    <w:abstractNumId w:val="7"/>
  </w:num>
  <w:num w:numId="21">
    <w:abstractNumId w:val="21"/>
  </w:num>
  <w:num w:numId="22">
    <w:abstractNumId w:val="47"/>
  </w:num>
  <w:num w:numId="23">
    <w:abstractNumId w:val="36"/>
  </w:num>
  <w:num w:numId="24">
    <w:abstractNumId w:val="45"/>
  </w:num>
  <w:num w:numId="25">
    <w:abstractNumId w:val="43"/>
  </w:num>
  <w:num w:numId="26">
    <w:abstractNumId w:val="1"/>
  </w:num>
  <w:num w:numId="27">
    <w:abstractNumId w:val="16"/>
  </w:num>
  <w:num w:numId="28">
    <w:abstractNumId w:val="2"/>
  </w:num>
  <w:num w:numId="29">
    <w:abstractNumId w:val="38"/>
  </w:num>
  <w:num w:numId="30">
    <w:abstractNumId w:val="18"/>
  </w:num>
  <w:num w:numId="31">
    <w:abstractNumId w:val="0"/>
  </w:num>
  <w:num w:numId="32">
    <w:abstractNumId w:val="44"/>
  </w:num>
  <w:num w:numId="33">
    <w:abstractNumId w:val="17"/>
  </w:num>
  <w:num w:numId="34">
    <w:abstractNumId w:val="9"/>
  </w:num>
  <w:num w:numId="35">
    <w:abstractNumId w:val="11"/>
  </w:num>
  <w:num w:numId="36">
    <w:abstractNumId w:val="13"/>
  </w:num>
  <w:num w:numId="37">
    <w:abstractNumId w:val="30"/>
  </w:num>
  <w:num w:numId="38">
    <w:abstractNumId w:val="23"/>
  </w:num>
  <w:num w:numId="39">
    <w:abstractNumId w:val="29"/>
  </w:num>
  <w:num w:numId="40">
    <w:abstractNumId w:val="28"/>
  </w:num>
  <w:num w:numId="41">
    <w:abstractNumId w:val="25"/>
  </w:num>
  <w:num w:numId="42">
    <w:abstractNumId w:val="3"/>
  </w:num>
  <w:num w:numId="43">
    <w:abstractNumId w:val="4"/>
  </w:num>
  <w:num w:numId="44">
    <w:abstractNumId w:val="10"/>
  </w:num>
  <w:num w:numId="45">
    <w:abstractNumId w:val="48"/>
  </w:num>
  <w:num w:numId="46">
    <w:abstractNumId w:val="22"/>
  </w:num>
  <w:num w:numId="47">
    <w:abstractNumId w:val="20"/>
  </w:num>
  <w:num w:numId="48">
    <w:abstractNumId w:val="12"/>
  </w:num>
  <w:num w:numId="49">
    <w:abstractNumId w:val="27"/>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17C97"/>
    <w:rsid w:val="0002430B"/>
    <w:rsid w:val="000260DC"/>
    <w:rsid w:val="000262F1"/>
    <w:rsid w:val="00032AB5"/>
    <w:rsid w:val="000366C7"/>
    <w:rsid w:val="00041F99"/>
    <w:rsid w:val="00044DB1"/>
    <w:rsid w:val="0004638A"/>
    <w:rsid w:val="0004639E"/>
    <w:rsid w:val="00052871"/>
    <w:rsid w:val="0005620C"/>
    <w:rsid w:val="00056C56"/>
    <w:rsid w:val="000579B9"/>
    <w:rsid w:val="00060888"/>
    <w:rsid w:val="0006118B"/>
    <w:rsid w:val="00063A3A"/>
    <w:rsid w:val="00067831"/>
    <w:rsid w:val="00067FFA"/>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23E8"/>
    <w:rsid w:val="0015436C"/>
    <w:rsid w:val="00170B70"/>
    <w:rsid w:val="00176498"/>
    <w:rsid w:val="00185818"/>
    <w:rsid w:val="00191755"/>
    <w:rsid w:val="00194585"/>
    <w:rsid w:val="001A01DC"/>
    <w:rsid w:val="001A0291"/>
    <w:rsid w:val="001A1252"/>
    <w:rsid w:val="001A277A"/>
    <w:rsid w:val="001B0EFB"/>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72434"/>
    <w:rsid w:val="00293E0F"/>
    <w:rsid w:val="0029445D"/>
    <w:rsid w:val="002A17B0"/>
    <w:rsid w:val="002A2F73"/>
    <w:rsid w:val="002A4697"/>
    <w:rsid w:val="002A7DF4"/>
    <w:rsid w:val="002B76D2"/>
    <w:rsid w:val="002C16FF"/>
    <w:rsid w:val="002C60A6"/>
    <w:rsid w:val="002C6CA2"/>
    <w:rsid w:val="002D16BA"/>
    <w:rsid w:val="002D188A"/>
    <w:rsid w:val="002E3161"/>
    <w:rsid w:val="002F4DC9"/>
    <w:rsid w:val="002F6B49"/>
    <w:rsid w:val="00300C93"/>
    <w:rsid w:val="00302397"/>
    <w:rsid w:val="00305BF7"/>
    <w:rsid w:val="00313A4B"/>
    <w:rsid w:val="00315B13"/>
    <w:rsid w:val="0034152A"/>
    <w:rsid w:val="00341B37"/>
    <w:rsid w:val="00344509"/>
    <w:rsid w:val="00350615"/>
    <w:rsid w:val="003517A1"/>
    <w:rsid w:val="00351E0F"/>
    <w:rsid w:val="00356741"/>
    <w:rsid w:val="0035694A"/>
    <w:rsid w:val="00361776"/>
    <w:rsid w:val="0036376B"/>
    <w:rsid w:val="00371BAE"/>
    <w:rsid w:val="00375B9C"/>
    <w:rsid w:val="0037732E"/>
    <w:rsid w:val="003963E3"/>
    <w:rsid w:val="003A1D2F"/>
    <w:rsid w:val="003A40A1"/>
    <w:rsid w:val="003A49C3"/>
    <w:rsid w:val="003A725E"/>
    <w:rsid w:val="003A7BFD"/>
    <w:rsid w:val="003B0F2D"/>
    <w:rsid w:val="003B48F6"/>
    <w:rsid w:val="003B68BD"/>
    <w:rsid w:val="003B70CB"/>
    <w:rsid w:val="003C18DB"/>
    <w:rsid w:val="003C1AB1"/>
    <w:rsid w:val="003C5A76"/>
    <w:rsid w:val="003D2192"/>
    <w:rsid w:val="003D4325"/>
    <w:rsid w:val="003D5AE8"/>
    <w:rsid w:val="003D6F6C"/>
    <w:rsid w:val="003D7858"/>
    <w:rsid w:val="003D790C"/>
    <w:rsid w:val="003E033B"/>
    <w:rsid w:val="003E2F70"/>
    <w:rsid w:val="003E455E"/>
    <w:rsid w:val="003E4744"/>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83674"/>
    <w:rsid w:val="00492A36"/>
    <w:rsid w:val="004944AF"/>
    <w:rsid w:val="004965B4"/>
    <w:rsid w:val="004A7272"/>
    <w:rsid w:val="004B7E13"/>
    <w:rsid w:val="004C4F38"/>
    <w:rsid w:val="004D1EB9"/>
    <w:rsid w:val="004D2BE1"/>
    <w:rsid w:val="004D74FD"/>
    <w:rsid w:val="004E0458"/>
    <w:rsid w:val="004E425D"/>
    <w:rsid w:val="004E4324"/>
    <w:rsid w:val="004F17BB"/>
    <w:rsid w:val="004F47FF"/>
    <w:rsid w:val="004F63FE"/>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727"/>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537B"/>
    <w:rsid w:val="00646962"/>
    <w:rsid w:val="00653C00"/>
    <w:rsid w:val="006552F7"/>
    <w:rsid w:val="0065728F"/>
    <w:rsid w:val="006630FB"/>
    <w:rsid w:val="006639B1"/>
    <w:rsid w:val="00666508"/>
    <w:rsid w:val="00667ADE"/>
    <w:rsid w:val="00680464"/>
    <w:rsid w:val="00682622"/>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D5D83"/>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5D31"/>
    <w:rsid w:val="00716487"/>
    <w:rsid w:val="007234AD"/>
    <w:rsid w:val="007274D6"/>
    <w:rsid w:val="0073483F"/>
    <w:rsid w:val="00736643"/>
    <w:rsid w:val="00740B88"/>
    <w:rsid w:val="007451D5"/>
    <w:rsid w:val="007468B1"/>
    <w:rsid w:val="00747FD2"/>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D7A21"/>
    <w:rsid w:val="007E26C5"/>
    <w:rsid w:val="007E5CF9"/>
    <w:rsid w:val="007E667A"/>
    <w:rsid w:val="007F2ADC"/>
    <w:rsid w:val="007F2D57"/>
    <w:rsid w:val="007F4CC0"/>
    <w:rsid w:val="007F6462"/>
    <w:rsid w:val="007F7092"/>
    <w:rsid w:val="007F7F6F"/>
    <w:rsid w:val="0080663F"/>
    <w:rsid w:val="00807715"/>
    <w:rsid w:val="00810FD4"/>
    <w:rsid w:val="00812391"/>
    <w:rsid w:val="008139BE"/>
    <w:rsid w:val="00814FBE"/>
    <w:rsid w:val="00832A89"/>
    <w:rsid w:val="0083618E"/>
    <w:rsid w:val="00844BF0"/>
    <w:rsid w:val="008455F2"/>
    <w:rsid w:val="00857AAF"/>
    <w:rsid w:val="00866ECF"/>
    <w:rsid w:val="00874346"/>
    <w:rsid w:val="00884691"/>
    <w:rsid w:val="0088522F"/>
    <w:rsid w:val="00885BE0"/>
    <w:rsid w:val="008950F7"/>
    <w:rsid w:val="008A0CFC"/>
    <w:rsid w:val="008A3900"/>
    <w:rsid w:val="008A5D41"/>
    <w:rsid w:val="008A666F"/>
    <w:rsid w:val="008A7C6E"/>
    <w:rsid w:val="008B65EA"/>
    <w:rsid w:val="008B75E7"/>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0F5"/>
    <w:rsid w:val="009642B8"/>
    <w:rsid w:val="009754EB"/>
    <w:rsid w:val="00975564"/>
    <w:rsid w:val="0097701D"/>
    <w:rsid w:val="009849D9"/>
    <w:rsid w:val="00991268"/>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734D6"/>
    <w:rsid w:val="00A8120A"/>
    <w:rsid w:val="00A9281E"/>
    <w:rsid w:val="00A9633F"/>
    <w:rsid w:val="00AA246C"/>
    <w:rsid w:val="00AA3944"/>
    <w:rsid w:val="00AB0621"/>
    <w:rsid w:val="00AB0E5C"/>
    <w:rsid w:val="00AB143C"/>
    <w:rsid w:val="00AB6A8A"/>
    <w:rsid w:val="00AB78CF"/>
    <w:rsid w:val="00AE0682"/>
    <w:rsid w:val="00AE3241"/>
    <w:rsid w:val="00AE42CB"/>
    <w:rsid w:val="00AE767D"/>
    <w:rsid w:val="00B06FCC"/>
    <w:rsid w:val="00B122E9"/>
    <w:rsid w:val="00B12371"/>
    <w:rsid w:val="00B12389"/>
    <w:rsid w:val="00B13598"/>
    <w:rsid w:val="00B15F71"/>
    <w:rsid w:val="00B16C29"/>
    <w:rsid w:val="00B223C9"/>
    <w:rsid w:val="00B32FD8"/>
    <w:rsid w:val="00B4178D"/>
    <w:rsid w:val="00B42D63"/>
    <w:rsid w:val="00B43DD3"/>
    <w:rsid w:val="00B44677"/>
    <w:rsid w:val="00B56803"/>
    <w:rsid w:val="00B757E2"/>
    <w:rsid w:val="00B8067B"/>
    <w:rsid w:val="00B8505E"/>
    <w:rsid w:val="00B9731E"/>
    <w:rsid w:val="00BB1AFD"/>
    <w:rsid w:val="00BB5579"/>
    <w:rsid w:val="00BC6170"/>
    <w:rsid w:val="00BD032F"/>
    <w:rsid w:val="00BE0511"/>
    <w:rsid w:val="00BE1AAF"/>
    <w:rsid w:val="00BE2524"/>
    <w:rsid w:val="00C04BE1"/>
    <w:rsid w:val="00C07223"/>
    <w:rsid w:val="00C14189"/>
    <w:rsid w:val="00C1505F"/>
    <w:rsid w:val="00C1516F"/>
    <w:rsid w:val="00C2121C"/>
    <w:rsid w:val="00C235FB"/>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0666"/>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959FC"/>
    <w:rsid w:val="00DA24DA"/>
    <w:rsid w:val="00DA58E0"/>
    <w:rsid w:val="00DA5917"/>
    <w:rsid w:val="00DA64CF"/>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30D5"/>
    <w:rsid w:val="00E73AA7"/>
    <w:rsid w:val="00E73BF3"/>
    <w:rsid w:val="00E84848"/>
    <w:rsid w:val="00E84B37"/>
    <w:rsid w:val="00E91847"/>
    <w:rsid w:val="00EA2661"/>
    <w:rsid w:val="00EA2B3A"/>
    <w:rsid w:val="00EB1F29"/>
    <w:rsid w:val="00EC0BF2"/>
    <w:rsid w:val="00EC6E65"/>
    <w:rsid w:val="00ED0465"/>
    <w:rsid w:val="00ED51A1"/>
    <w:rsid w:val="00ED5B34"/>
    <w:rsid w:val="00ED5C53"/>
    <w:rsid w:val="00EE020F"/>
    <w:rsid w:val="00EE0B7C"/>
    <w:rsid w:val="00EE5055"/>
    <w:rsid w:val="00EE60BC"/>
    <w:rsid w:val="00EE711F"/>
    <w:rsid w:val="00EF63E0"/>
    <w:rsid w:val="00EF642C"/>
    <w:rsid w:val="00F04C73"/>
    <w:rsid w:val="00F05CA9"/>
    <w:rsid w:val="00F077DE"/>
    <w:rsid w:val="00F125DD"/>
    <w:rsid w:val="00F20AF6"/>
    <w:rsid w:val="00F274C0"/>
    <w:rsid w:val="00F32EB1"/>
    <w:rsid w:val="00F34494"/>
    <w:rsid w:val="00F3584A"/>
    <w:rsid w:val="00F36195"/>
    <w:rsid w:val="00F40812"/>
    <w:rsid w:val="00F454CC"/>
    <w:rsid w:val="00F476E9"/>
    <w:rsid w:val="00F50CC6"/>
    <w:rsid w:val="00F51618"/>
    <w:rsid w:val="00F61F23"/>
    <w:rsid w:val="00F62865"/>
    <w:rsid w:val="00F72CB3"/>
    <w:rsid w:val="00F7368A"/>
    <w:rsid w:val="00F74316"/>
    <w:rsid w:val="00F77B40"/>
    <w:rsid w:val="00F815FA"/>
    <w:rsid w:val="00F81CC3"/>
    <w:rsid w:val="00F850E2"/>
    <w:rsid w:val="00F85DFA"/>
    <w:rsid w:val="00F86E49"/>
    <w:rsid w:val="00F95BB9"/>
    <w:rsid w:val="00F96A29"/>
    <w:rsid w:val="00FA0457"/>
    <w:rsid w:val="00FA08C9"/>
    <w:rsid w:val="00FA1432"/>
    <w:rsid w:val="00FA3CFC"/>
    <w:rsid w:val="00FA63E7"/>
    <w:rsid w:val="00FB0272"/>
    <w:rsid w:val="00FB5ABD"/>
    <w:rsid w:val="00FC1A3C"/>
    <w:rsid w:val="00FC5689"/>
    <w:rsid w:val="00FD0719"/>
    <w:rsid w:val="00FD1D52"/>
    <w:rsid w:val="00FD70E2"/>
    <w:rsid w:val="00FE0721"/>
    <w:rsid w:val="00FE4428"/>
    <w:rsid w:val="00FF58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3A1D2F"/>
    <w:pPr>
      <w:tabs>
        <w:tab w:val="center" w:pos="4513"/>
        <w:tab w:val="right" w:pos="9026"/>
      </w:tabs>
    </w:pPr>
    <w:rPr>
      <w:rFonts w:cs="Times New Roman"/>
    </w:rPr>
  </w:style>
  <w:style w:type="character" w:customStyle="1" w:styleId="HeaderChar">
    <w:name w:val="Header Char"/>
    <w:link w:val="Header"/>
    <w:uiPriority w:val="99"/>
    <w:rsid w:val="003A1D2F"/>
    <w:rPr>
      <w:rFonts w:cs="Calibri"/>
      <w:sz w:val="22"/>
      <w:szCs w:val="22"/>
      <w:lang w:val="en-GB" w:eastAsia="en-US"/>
    </w:rPr>
  </w:style>
  <w:style w:type="paragraph" w:styleId="Footer">
    <w:name w:val="footer"/>
    <w:basedOn w:val="Normal"/>
    <w:link w:val="FooterChar"/>
    <w:uiPriority w:val="99"/>
    <w:unhideWhenUsed/>
    <w:rsid w:val="003A1D2F"/>
    <w:pPr>
      <w:tabs>
        <w:tab w:val="center" w:pos="4513"/>
        <w:tab w:val="right" w:pos="9026"/>
      </w:tabs>
    </w:pPr>
    <w:rPr>
      <w:rFonts w:cs="Times New Roman"/>
    </w:rPr>
  </w:style>
  <w:style w:type="character" w:customStyle="1" w:styleId="FooterChar">
    <w:name w:val="Footer Char"/>
    <w:link w:val="Footer"/>
    <w:uiPriority w:val="99"/>
    <w:rsid w:val="003A1D2F"/>
    <w:rPr>
      <w:rFonts w:cs="Calibri"/>
      <w:sz w:val="22"/>
      <w:szCs w:val="22"/>
      <w:lang w:val="en-GB" w:eastAsia="en-US"/>
    </w:rPr>
  </w:style>
  <w:style w:type="table" w:styleId="TableGrid">
    <w:name w:val="Table Grid"/>
    <w:basedOn w:val="TableNormal"/>
    <w:locked/>
    <w:rsid w:val="00991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405D-E1FD-4649-B519-1139907C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2015-10-02T08:49:00Z</cp:lastPrinted>
  <dcterms:created xsi:type="dcterms:W3CDTF">2015-10-21T08:47:00Z</dcterms:created>
  <dcterms:modified xsi:type="dcterms:W3CDTF">2015-10-21T08:47:00Z</dcterms:modified>
</cp:coreProperties>
</file>