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076887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18/02/2022</w:t>
      </w:r>
    </w:p>
    <w:p w:rsidR="006D7B63" w:rsidRPr="000016F3" w:rsidRDefault="00076887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02/2022</w:t>
      </w:r>
    </w:p>
    <w:p w:rsidR="00D1689E" w:rsidRDefault="00076887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348.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8F6371" w:rsidRDefault="00076887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  </w:t>
      </w:r>
    </w:p>
    <w:p w:rsidR="00FC5780" w:rsidRDefault="00076887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current vacancy rate for (a) teachers, (b) teacher assistants and (c) principals in each province?        </w:t>
      </w:r>
    </w:p>
    <w:p w:rsidR="008F6371" w:rsidRDefault="00076887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                                                                        </w:t>
      </w:r>
    </w:p>
    <w:p w:rsidR="006D7B63" w:rsidRDefault="00076887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8F6371" w:rsidRDefault="00076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The table below shows the vacancy rate for teachers (Post Level 1) in each province in terms of the latest available information which is at the end of December 2021.</w:t>
      </w:r>
    </w:p>
    <w:tbl>
      <w:tblPr>
        <w:tblW w:w="6345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5"/>
        <w:gridCol w:w="1328"/>
        <w:gridCol w:w="1422"/>
        <w:gridCol w:w="1249"/>
      </w:tblGrid>
      <w:tr w:rsidR="008F6371">
        <w:trPr>
          <w:trHeight w:val="580"/>
          <w:tblCellSpacing w:w="0" w:type="dxa"/>
        </w:trPr>
        <w:tc>
          <w:tcPr>
            <w:tcW w:w="22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14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All PL1 Teachers</w:t>
            </w:r>
          </w:p>
        </w:tc>
        <w:tc>
          <w:tcPr>
            <w:tcW w:w="17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Number of PL1 vacancies</w:t>
            </w:r>
          </w:p>
        </w:tc>
        <w:tc>
          <w:tcPr>
            <w:tcW w:w="10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Vacancy rate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EASTERN CAPE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44 054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4 777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10.8%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FREE STATE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17 172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0.7%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GAUTENG   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54 863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0.2%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KWAZULU/NATAL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72 037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2 237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3.1%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LIMPOPO PROVINCE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40 828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3 219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7.9%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MPUMALANGA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26 850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0.3%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NORTHERN CAPE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7 236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0.3%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 WEST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21 786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0.4%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WESTERN CAPE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25 712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0.2%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310 538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10 667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3.4%</w:t>
            </w:r>
          </w:p>
        </w:tc>
      </w:tr>
    </w:tbl>
    <w:p w:rsidR="008F6371" w:rsidRDefault="0007688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Source: </w:t>
      </w:r>
      <w:r>
        <w:rPr>
          <w:rFonts w:ascii="Arial" w:eastAsia="Arial" w:hAnsi="Arial" w:cs="Arial"/>
          <w:sz w:val="24"/>
          <w:szCs w:val="24"/>
        </w:rPr>
        <w:t>Persal, December 2021</w:t>
      </w:r>
    </w:p>
    <w:p w:rsidR="008F6371" w:rsidRDefault="0007688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There is currently no national policy/norms to create posts for teacher assistants. </w:t>
      </w:r>
    </w:p>
    <w:p w:rsidR="00076887" w:rsidRDefault="00076887">
      <w:pPr>
        <w:spacing w:before="240"/>
        <w:jc w:val="both"/>
        <w:rPr>
          <w:rFonts w:ascii="Arial" w:eastAsia="Arial" w:hAnsi="Arial" w:cs="Arial"/>
          <w:sz w:val="24"/>
          <w:szCs w:val="24"/>
        </w:rPr>
      </w:pPr>
    </w:p>
    <w:p w:rsidR="00076887" w:rsidRDefault="00076887">
      <w:pPr>
        <w:spacing w:before="240"/>
        <w:jc w:val="both"/>
        <w:rPr>
          <w:rFonts w:ascii="Arial" w:eastAsia="Arial" w:hAnsi="Arial" w:cs="Arial"/>
          <w:sz w:val="24"/>
          <w:szCs w:val="24"/>
        </w:rPr>
      </w:pPr>
    </w:p>
    <w:p w:rsidR="00076887" w:rsidRDefault="00076887">
      <w:pPr>
        <w:spacing w:before="240"/>
        <w:jc w:val="both"/>
        <w:rPr>
          <w:rFonts w:ascii="Arial" w:eastAsia="Arial" w:hAnsi="Arial" w:cs="Arial"/>
          <w:sz w:val="24"/>
          <w:szCs w:val="24"/>
        </w:rPr>
      </w:pPr>
    </w:p>
    <w:p w:rsidR="008F6371" w:rsidRDefault="00076887">
      <w:pPr>
        <w:spacing w:before="24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lastRenderedPageBreak/>
        <w:t>(c)The table below shows the vacancy rate for principals (Post Level 1) in each province in terms of the latest available information which is at the end of December 2021.</w:t>
      </w:r>
    </w:p>
    <w:p w:rsidR="00076887" w:rsidRDefault="0007688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345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5"/>
        <w:gridCol w:w="1288"/>
        <w:gridCol w:w="1422"/>
        <w:gridCol w:w="1249"/>
      </w:tblGrid>
      <w:tr w:rsidR="008F6371">
        <w:trPr>
          <w:trHeight w:val="580"/>
          <w:tblCellSpacing w:w="0" w:type="dxa"/>
        </w:trPr>
        <w:tc>
          <w:tcPr>
            <w:tcW w:w="22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14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Number of Principal Post</w:t>
            </w:r>
          </w:p>
        </w:tc>
        <w:tc>
          <w:tcPr>
            <w:tcW w:w="17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Number of Principal vacancies</w:t>
            </w:r>
          </w:p>
        </w:tc>
        <w:tc>
          <w:tcPr>
            <w:tcW w:w="10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Vacancy rate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EASTERN CAPE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5 190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1 032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FREE STATE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1 069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5%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GAUTENG   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2 215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16%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KWAZULU/NATAL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5 882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1 457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25%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LIMPOPO PROVINCE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3 732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MPUMALANGA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1 676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19%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NORTHERN CAPE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19%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 WEST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1 487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18%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WESTERN CAPE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1 525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22%</w:t>
            </w:r>
          </w:p>
        </w:tc>
      </w:tr>
      <w:tr w:rsidR="008F6371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23 332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4 787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076887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21%</w:t>
            </w:r>
          </w:p>
        </w:tc>
      </w:tr>
    </w:tbl>
    <w:p w:rsidR="008F6371" w:rsidRDefault="0007688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Source:</w:t>
      </w:r>
      <w:r>
        <w:rPr>
          <w:rFonts w:ascii="Arial" w:eastAsia="Arial" w:hAnsi="Arial" w:cs="Arial"/>
          <w:sz w:val="24"/>
          <w:szCs w:val="24"/>
        </w:rPr>
        <w:t xml:space="preserve"> PERSAL December 2021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DE0E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37" w:rsidRDefault="003D5F37">
      <w:pPr>
        <w:spacing w:after="0" w:line="240" w:lineRule="auto"/>
      </w:pPr>
      <w:r>
        <w:separator/>
      </w:r>
    </w:p>
  </w:endnote>
  <w:endnote w:type="continuationSeparator" w:id="0">
    <w:p w:rsidR="003D5F37" w:rsidRDefault="003D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37" w:rsidRDefault="003D5F37">
      <w:pPr>
        <w:spacing w:after="0" w:line="240" w:lineRule="auto"/>
      </w:pPr>
      <w:r>
        <w:separator/>
      </w:r>
    </w:p>
  </w:footnote>
  <w:footnote w:type="continuationSeparator" w:id="0">
    <w:p w:rsidR="003D5F37" w:rsidRDefault="003D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076887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076887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076887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348.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7688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D5F3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8474D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6371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E0E4E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985F-AFAB-47BC-948E-D6E5ADDA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2022-03-03T11:04:00Z</dcterms:created>
  <dcterms:modified xsi:type="dcterms:W3CDTF">2022-03-03T11:04:00Z</dcterms:modified>
</cp:coreProperties>
</file>